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32" w:rsidRPr="00446F4A" w:rsidRDefault="00443932">
      <w:pPr>
        <w:jc w:val="center"/>
        <w:rPr>
          <w:b/>
          <w:color w:val="000000"/>
          <w:sz w:val="28"/>
          <w:szCs w:val="24"/>
        </w:rPr>
      </w:pPr>
    </w:p>
    <w:p w:rsidR="00446F4A" w:rsidRDefault="00560658">
      <w:pPr>
        <w:jc w:val="center"/>
        <w:rPr>
          <w:b/>
          <w:color w:val="000000"/>
          <w:sz w:val="28"/>
          <w:szCs w:val="24"/>
        </w:rPr>
      </w:pPr>
      <w:r w:rsidRPr="00446F4A">
        <w:rPr>
          <w:b/>
          <w:color w:val="000000"/>
          <w:sz w:val="28"/>
          <w:szCs w:val="24"/>
        </w:rPr>
        <w:t xml:space="preserve">JUSTIFICATIVA DA NECESSIDADE DO OBJETO E </w:t>
      </w:r>
    </w:p>
    <w:p w:rsidR="000E6BA6" w:rsidRPr="00446F4A" w:rsidRDefault="00560658">
      <w:pPr>
        <w:jc w:val="center"/>
        <w:rPr>
          <w:b/>
          <w:color w:val="000000"/>
          <w:sz w:val="28"/>
          <w:szCs w:val="24"/>
        </w:rPr>
      </w:pPr>
      <w:r w:rsidRPr="00446F4A">
        <w:rPr>
          <w:b/>
          <w:color w:val="000000"/>
          <w:sz w:val="28"/>
          <w:szCs w:val="24"/>
        </w:rPr>
        <w:t>PREVISÃO DE RECURSOS ORÇAMENTÁRIOS</w:t>
      </w:r>
    </w:p>
    <w:p w:rsidR="00560658" w:rsidRDefault="00560658">
      <w:pPr>
        <w:jc w:val="center"/>
        <w:rPr>
          <w:b/>
          <w:color w:val="000000"/>
          <w:szCs w:val="24"/>
        </w:rPr>
      </w:pPr>
    </w:p>
    <w:p w:rsidR="00560658" w:rsidRDefault="00560658">
      <w:pPr>
        <w:jc w:val="center"/>
        <w:rPr>
          <w:b/>
          <w:color w:val="000000"/>
          <w:szCs w:val="24"/>
        </w:rPr>
      </w:pPr>
    </w:p>
    <w:p w:rsidR="00560658" w:rsidRDefault="00560658" w:rsidP="00A22002">
      <w:pPr>
        <w:ind w:firstLine="709"/>
        <w:jc w:val="both"/>
        <w:rPr>
          <w:color w:val="FF0000"/>
          <w:szCs w:val="24"/>
        </w:rPr>
      </w:pPr>
      <w:r>
        <w:rPr>
          <w:b/>
          <w:szCs w:val="24"/>
        </w:rPr>
        <w:t xml:space="preserve">CONTEXTUALIZAÇÃO: </w:t>
      </w:r>
      <w:r w:rsidRPr="000627D8">
        <w:rPr>
          <w:color w:val="000000" w:themeColor="text1"/>
          <w:szCs w:val="24"/>
        </w:rPr>
        <w:t>Atualmente o Centro Acadê</w:t>
      </w:r>
      <w:r w:rsidR="00A22002">
        <w:rPr>
          <w:color w:val="000000" w:themeColor="text1"/>
          <w:szCs w:val="24"/>
        </w:rPr>
        <w:t>mico do Agreste – CAA possui, no</w:t>
      </w:r>
      <w:r w:rsidRPr="000627D8">
        <w:rPr>
          <w:color w:val="000000" w:themeColor="text1"/>
          <w:szCs w:val="24"/>
        </w:rPr>
        <w:t xml:space="preserve"> seu quadro de servidores, 2</w:t>
      </w:r>
      <w:r w:rsidR="000627D8">
        <w:rPr>
          <w:color w:val="000000" w:themeColor="text1"/>
          <w:szCs w:val="24"/>
        </w:rPr>
        <w:t>80</w:t>
      </w:r>
      <w:r w:rsidRPr="000627D8">
        <w:rPr>
          <w:color w:val="000000" w:themeColor="text1"/>
          <w:szCs w:val="24"/>
        </w:rPr>
        <w:t xml:space="preserve"> </w:t>
      </w:r>
      <w:r w:rsidR="000627D8">
        <w:rPr>
          <w:color w:val="000000" w:themeColor="text1"/>
          <w:szCs w:val="24"/>
        </w:rPr>
        <w:t>professores e 136</w:t>
      </w:r>
      <w:r w:rsidRPr="000627D8">
        <w:rPr>
          <w:color w:val="000000" w:themeColor="text1"/>
          <w:szCs w:val="24"/>
        </w:rPr>
        <w:t xml:space="preserve"> Técnicos Administrativos em E</w:t>
      </w:r>
      <w:r w:rsidR="00640BC8">
        <w:rPr>
          <w:color w:val="000000" w:themeColor="text1"/>
          <w:szCs w:val="24"/>
        </w:rPr>
        <w:t>ducação e, aproximadamente, 4</w:t>
      </w:r>
      <w:r w:rsidR="00292211">
        <w:rPr>
          <w:color w:val="000000" w:themeColor="text1"/>
          <w:szCs w:val="24"/>
        </w:rPr>
        <w:t>753</w:t>
      </w:r>
      <w:r w:rsidRPr="000627D8">
        <w:rPr>
          <w:color w:val="000000" w:themeColor="text1"/>
          <w:szCs w:val="24"/>
        </w:rPr>
        <w:t xml:space="preserve"> alunos. São ao todo 12 cursos de graduação, incluindo o Núcleo de Ciências da Vida (Medicina)</w:t>
      </w:r>
      <w:r w:rsidR="00292211">
        <w:rPr>
          <w:color w:val="000000" w:themeColor="text1"/>
          <w:szCs w:val="24"/>
        </w:rPr>
        <w:t xml:space="preserve"> e o curso Intercultural Indígena</w:t>
      </w:r>
      <w:r w:rsidRPr="000627D8">
        <w:rPr>
          <w:color w:val="000000" w:themeColor="text1"/>
          <w:szCs w:val="24"/>
        </w:rPr>
        <w:t>,</w:t>
      </w:r>
      <w:r w:rsidR="00D94CBF">
        <w:rPr>
          <w:color w:val="000000" w:themeColor="text1"/>
          <w:szCs w:val="24"/>
        </w:rPr>
        <w:t xml:space="preserve"> e</w:t>
      </w:r>
      <w:r w:rsidRPr="000627D8">
        <w:rPr>
          <w:color w:val="000000" w:themeColor="text1"/>
          <w:szCs w:val="24"/>
        </w:rPr>
        <w:t xml:space="preserve"> seis mestrados acadêmicos</w:t>
      </w:r>
      <w:r w:rsidR="00A22002">
        <w:rPr>
          <w:color w:val="000000" w:themeColor="text1"/>
          <w:szCs w:val="24"/>
        </w:rPr>
        <w:t>.</w:t>
      </w:r>
      <w:r w:rsidRPr="00292211">
        <w:rPr>
          <w:color w:val="00B0F0"/>
          <w:szCs w:val="24"/>
        </w:rPr>
        <w:t xml:space="preserve"> </w:t>
      </w:r>
      <w:r w:rsidRPr="000627D8">
        <w:rPr>
          <w:color w:val="000000" w:themeColor="text1"/>
          <w:szCs w:val="24"/>
        </w:rPr>
        <w:t xml:space="preserve">Além disso, mais </w:t>
      </w:r>
      <w:r w:rsidR="00D379A3">
        <w:rPr>
          <w:color w:val="000000" w:themeColor="text1"/>
          <w:szCs w:val="24"/>
        </w:rPr>
        <w:t>dois</w:t>
      </w:r>
      <w:r w:rsidRPr="000627D8">
        <w:rPr>
          <w:color w:val="000000" w:themeColor="text1"/>
          <w:szCs w:val="24"/>
        </w:rPr>
        <w:t xml:space="preserve"> cursos de graduação foram aprovados: Bacharelado</w:t>
      </w:r>
      <w:r w:rsidR="00A22002">
        <w:rPr>
          <w:color w:val="000000" w:themeColor="text1"/>
          <w:szCs w:val="24"/>
        </w:rPr>
        <w:t xml:space="preserve"> em Música e</w:t>
      </w:r>
      <w:r w:rsidR="00292211">
        <w:rPr>
          <w:color w:val="000000" w:themeColor="text1"/>
          <w:szCs w:val="24"/>
        </w:rPr>
        <w:t xml:space="preserve"> Ciências Contábeis. </w:t>
      </w:r>
      <w:r w:rsidRPr="007D6A6E">
        <w:rPr>
          <w:color w:val="FF0000"/>
          <w:szCs w:val="24"/>
        </w:rPr>
        <w:t>Tudo isso contribui para uma alta demanda de compras (materiais de expediente, equipam</w:t>
      </w:r>
      <w:r w:rsidR="000627D8">
        <w:rPr>
          <w:color w:val="FF0000"/>
          <w:szCs w:val="24"/>
        </w:rPr>
        <w:t>entos, móveis, serviços e obras)</w:t>
      </w:r>
      <w:r w:rsidRPr="007D6A6E">
        <w:rPr>
          <w:color w:val="FF0000"/>
          <w:szCs w:val="24"/>
        </w:rPr>
        <w:t xml:space="preserve"> até de materiais de laboratório e de medicina, os quais são muito singulares.</w:t>
      </w:r>
    </w:p>
    <w:p w:rsidR="00CC089D" w:rsidRDefault="00CC089D" w:rsidP="00A22002">
      <w:pPr>
        <w:ind w:firstLine="709"/>
        <w:jc w:val="both"/>
        <w:rPr>
          <w:color w:val="FF0000"/>
          <w:szCs w:val="24"/>
        </w:rPr>
      </w:pPr>
    </w:p>
    <w:p w:rsidR="00A6685E" w:rsidRPr="00A6685E" w:rsidRDefault="00A6685E" w:rsidP="00A22002">
      <w:pPr>
        <w:ind w:firstLine="709"/>
        <w:jc w:val="both"/>
        <w:rPr>
          <w:color w:val="FF0000"/>
          <w:szCs w:val="24"/>
        </w:rPr>
      </w:pPr>
      <w:r w:rsidRPr="00A6685E">
        <w:rPr>
          <w:b/>
          <w:szCs w:val="24"/>
        </w:rPr>
        <w:t xml:space="preserve">OBJETO DA COMPRA/CONTRATAÇÃO: </w:t>
      </w:r>
      <w:r w:rsidR="00AA729D" w:rsidRPr="00B67F84">
        <w:rPr>
          <w:szCs w:val="24"/>
        </w:rPr>
        <w:t>Exemplo 01</w:t>
      </w:r>
      <w:r w:rsidR="00B67F84">
        <w:rPr>
          <w:szCs w:val="24"/>
        </w:rPr>
        <w:t>-</w:t>
      </w:r>
      <w:r w:rsidRPr="00B67F84">
        <w:rPr>
          <w:color w:val="FF0000"/>
          <w:szCs w:val="24"/>
        </w:rPr>
        <w:t>A</w:t>
      </w:r>
      <w:r w:rsidRPr="00A6685E">
        <w:rPr>
          <w:color w:val="FF0000"/>
          <w:szCs w:val="24"/>
        </w:rPr>
        <w:t>quisição de gás P-10</w:t>
      </w:r>
      <w:r w:rsidR="00B67F84">
        <w:rPr>
          <w:color w:val="FF0000"/>
          <w:szCs w:val="24"/>
        </w:rPr>
        <w:t xml:space="preserve"> destinado a uso prático de laboratório de Química. Exemplo 02 - A</w:t>
      </w:r>
      <w:r>
        <w:rPr>
          <w:color w:val="FF0000"/>
          <w:szCs w:val="24"/>
        </w:rPr>
        <w:t>quisição de materiais para laboratório</w:t>
      </w:r>
      <w:r w:rsidR="00B67F84">
        <w:rPr>
          <w:color w:val="FF0000"/>
          <w:szCs w:val="24"/>
        </w:rPr>
        <w:t xml:space="preserve"> de estudo de recursos hídricos. Exemplo 03- L</w:t>
      </w:r>
      <w:r w:rsidRPr="00A6685E">
        <w:rPr>
          <w:color w:val="FF0000"/>
          <w:szCs w:val="24"/>
        </w:rPr>
        <w:t>ocação de 250 cadeiras pl</w:t>
      </w:r>
      <w:r>
        <w:rPr>
          <w:color w:val="FF0000"/>
          <w:szCs w:val="24"/>
        </w:rPr>
        <w:t>ásticas com braço na cor branca</w:t>
      </w:r>
      <w:r w:rsidR="00B67F84">
        <w:rPr>
          <w:color w:val="FF0000"/>
          <w:szCs w:val="24"/>
        </w:rPr>
        <w:t xml:space="preserve"> para o evento Ciência no Campus do Agreste. Exemplo 04 - </w:t>
      </w:r>
      <w:r w:rsidR="001E4E37">
        <w:rPr>
          <w:color w:val="FF0000"/>
          <w:szCs w:val="24"/>
        </w:rPr>
        <w:t>C</w:t>
      </w:r>
      <w:r>
        <w:rPr>
          <w:color w:val="FF0000"/>
          <w:szCs w:val="24"/>
        </w:rPr>
        <w:t xml:space="preserve">ontratação de empresa para impressão de </w:t>
      </w:r>
      <w:r w:rsidR="00B67F84">
        <w:rPr>
          <w:color w:val="FF0000"/>
          <w:szCs w:val="24"/>
        </w:rPr>
        <w:t>material gráfico</w:t>
      </w:r>
      <w:r w:rsidR="001E4E37">
        <w:rPr>
          <w:color w:val="FF0000"/>
          <w:szCs w:val="24"/>
        </w:rPr>
        <w:t xml:space="preserve"> necessário para o evento Simpósio de Administração Pública</w:t>
      </w:r>
      <w:r w:rsidR="00B67F84">
        <w:rPr>
          <w:color w:val="FF0000"/>
          <w:szCs w:val="24"/>
        </w:rPr>
        <w:t>, etc</w:t>
      </w:r>
      <w:r>
        <w:rPr>
          <w:color w:val="FF0000"/>
          <w:szCs w:val="24"/>
        </w:rPr>
        <w:t>.</w:t>
      </w:r>
    </w:p>
    <w:p w:rsidR="00A6685E" w:rsidRDefault="00A6685E" w:rsidP="00A22002">
      <w:pPr>
        <w:ind w:firstLine="708"/>
        <w:jc w:val="both"/>
        <w:rPr>
          <w:b/>
          <w:szCs w:val="24"/>
        </w:rPr>
      </w:pPr>
    </w:p>
    <w:p w:rsidR="00463414" w:rsidRDefault="00560658" w:rsidP="00A22002">
      <w:pPr>
        <w:ind w:firstLine="708"/>
        <w:jc w:val="both"/>
        <w:rPr>
          <w:color w:val="FF0000"/>
          <w:szCs w:val="24"/>
        </w:rPr>
      </w:pPr>
      <w:r>
        <w:rPr>
          <w:b/>
          <w:szCs w:val="24"/>
        </w:rPr>
        <w:t xml:space="preserve">LOCAL ONDE SERÁ UTILIZADO O </w:t>
      </w:r>
      <w:r w:rsidR="00F337C9">
        <w:rPr>
          <w:b/>
          <w:szCs w:val="24"/>
        </w:rPr>
        <w:t>OBJETO</w:t>
      </w:r>
      <w:r>
        <w:rPr>
          <w:b/>
          <w:szCs w:val="24"/>
        </w:rPr>
        <w:t xml:space="preserve">: </w:t>
      </w:r>
      <w:r w:rsidR="00463414" w:rsidRPr="00463414">
        <w:rPr>
          <w:b/>
          <w:color w:val="FF0000"/>
          <w:szCs w:val="24"/>
        </w:rPr>
        <w:t>XXXXXXXXX</w:t>
      </w:r>
    </w:p>
    <w:p w:rsidR="00463414" w:rsidRDefault="00463414" w:rsidP="00560658">
      <w:pPr>
        <w:ind w:firstLine="708"/>
        <w:jc w:val="both"/>
        <w:rPr>
          <w:color w:val="FF0000"/>
          <w:szCs w:val="24"/>
        </w:rPr>
      </w:pPr>
    </w:p>
    <w:p w:rsidR="00463414" w:rsidRDefault="00463414" w:rsidP="00560658">
      <w:pPr>
        <w:ind w:firstLine="708"/>
        <w:jc w:val="both"/>
        <w:rPr>
          <w:color w:val="FF0000"/>
          <w:szCs w:val="24"/>
        </w:rPr>
      </w:pPr>
    </w:p>
    <w:p w:rsidR="00560658" w:rsidRDefault="00560658" w:rsidP="00560658">
      <w:pPr>
        <w:ind w:firstLine="708"/>
        <w:jc w:val="both"/>
        <w:rPr>
          <w:b/>
          <w:szCs w:val="24"/>
        </w:rPr>
      </w:pPr>
      <w:r w:rsidRPr="00B34BCF">
        <w:rPr>
          <w:b/>
          <w:szCs w:val="24"/>
        </w:rPr>
        <w:t xml:space="preserve">BENEFÍCIOS GERADOS COM A AQUISIÇÃO </w:t>
      </w:r>
      <w:r>
        <w:rPr>
          <w:b/>
          <w:szCs w:val="24"/>
        </w:rPr>
        <w:t xml:space="preserve">DO PRODUTO: </w:t>
      </w:r>
    </w:p>
    <w:p w:rsidR="00560658" w:rsidRPr="007D6A6E" w:rsidRDefault="00560658" w:rsidP="00A22002">
      <w:pPr>
        <w:pStyle w:val="PargrafodaLista"/>
        <w:numPr>
          <w:ilvl w:val="0"/>
          <w:numId w:val="5"/>
        </w:numPr>
        <w:jc w:val="both"/>
        <w:rPr>
          <w:b/>
          <w:color w:val="FF0000"/>
          <w:szCs w:val="24"/>
        </w:rPr>
      </w:pPr>
      <w:r w:rsidRPr="007D6A6E">
        <w:rPr>
          <w:color w:val="FF0000"/>
          <w:szCs w:val="24"/>
        </w:rPr>
        <w:t>Agilizar o processo licitatório como um todo;</w:t>
      </w:r>
    </w:p>
    <w:p w:rsidR="00560658" w:rsidRPr="007D6A6E" w:rsidRDefault="00560658" w:rsidP="00A22002">
      <w:pPr>
        <w:pStyle w:val="PargrafodaLista"/>
        <w:numPr>
          <w:ilvl w:val="0"/>
          <w:numId w:val="5"/>
        </w:numPr>
        <w:jc w:val="both"/>
        <w:rPr>
          <w:b/>
          <w:color w:val="FF0000"/>
          <w:szCs w:val="24"/>
        </w:rPr>
      </w:pPr>
      <w:r w:rsidRPr="007D6A6E">
        <w:rPr>
          <w:color w:val="FF0000"/>
          <w:szCs w:val="24"/>
        </w:rPr>
        <w:t>Facilitar a obtenção de cotações com preços realmente praticados pelo mercado;</w:t>
      </w:r>
    </w:p>
    <w:p w:rsidR="00560658" w:rsidRPr="007D6A6E" w:rsidRDefault="00560658" w:rsidP="00A22002">
      <w:pPr>
        <w:pStyle w:val="PargrafodaLista"/>
        <w:numPr>
          <w:ilvl w:val="0"/>
          <w:numId w:val="5"/>
        </w:numPr>
        <w:jc w:val="both"/>
        <w:rPr>
          <w:b/>
          <w:color w:val="FF0000"/>
          <w:szCs w:val="24"/>
        </w:rPr>
      </w:pPr>
      <w:r w:rsidRPr="007D6A6E">
        <w:rPr>
          <w:color w:val="FF0000"/>
          <w:szCs w:val="24"/>
        </w:rPr>
        <w:t>Tornar o serviço da Divisão de Compras mais eficiente e, por consequência, dos demais setores também;</w:t>
      </w:r>
    </w:p>
    <w:p w:rsidR="00560658" w:rsidRPr="007D6A6E" w:rsidRDefault="00560658" w:rsidP="00A22002">
      <w:pPr>
        <w:pStyle w:val="PargrafodaLista"/>
        <w:numPr>
          <w:ilvl w:val="0"/>
          <w:numId w:val="5"/>
        </w:numPr>
        <w:jc w:val="both"/>
        <w:rPr>
          <w:b/>
          <w:color w:val="FF0000"/>
          <w:szCs w:val="24"/>
        </w:rPr>
      </w:pPr>
      <w:r w:rsidRPr="007D6A6E">
        <w:rPr>
          <w:color w:val="FF0000"/>
          <w:szCs w:val="24"/>
        </w:rPr>
        <w:t>Permitir que as atividades da Divisão de Compras se tornem mais eficazes;</w:t>
      </w:r>
    </w:p>
    <w:p w:rsidR="00560658" w:rsidRPr="007D6A6E" w:rsidRDefault="00560658" w:rsidP="00A22002">
      <w:pPr>
        <w:pStyle w:val="PargrafodaLista"/>
        <w:numPr>
          <w:ilvl w:val="0"/>
          <w:numId w:val="5"/>
        </w:numPr>
        <w:jc w:val="both"/>
        <w:rPr>
          <w:b/>
          <w:color w:val="FF0000"/>
          <w:szCs w:val="24"/>
        </w:rPr>
      </w:pPr>
      <w:r w:rsidRPr="007D6A6E">
        <w:rPr>
          <w:color w:val="FF0000"/>
          <w:szCs w:val="24"/>
        </w:rPr>
        <w:t>Otimizar as atividades da Divisão e atingir altos índices de produtividade;</w:t>
      </w:r>
    </w:p>
    <w:p w:rsidR="00560658" w:rsidRPr="00463414" w:rsidRDefault="00560658" w:rsidP="00A22002">
      <w:pPr>
        <w:pStyle w:val="PargrafodaLista"/>
        <w:numPr>
          <w:ilvl w:val="0"/>
          <w:numId w:val="5"/>
        </w:numPr>
        <w:spacing w:after="200"/>
        <w:jc w:val="both"/>
        <w:rPr>
          <w:b/>
          <w:color w:val="FF0000"/>
          <w:szCs w:val="24"/>
        </w:rPr>
      </w:pPr>
      <w:r w:rsidRPr="007D6A6E">
        <w:rPr>
          <w:color w:val="FF0000"/>
          <w:szCs w:val="24"/>
        </w:rPr>
        <w:t>Influenciar na execução orçamentária.</w:t>
      </w:r>
    </w:p>
    <w:p w:rsidR="00463414" w:rsidRDefault="00463414" w:rsidP="00463414">
      <w:pPr>
        <w:pStyle w:val="PargrafodaLista"/>
        <w:spacing w:after="200" w:line="276" w:lineRule="auto"/>
        <w:jc w:val="both"/>
        <w:rPr>
          <w:color w:val="FF0000"/>
          <w:szCs w:val="24"/>
        </w:rPr>
      </w:pPr>
    </w:p>
    <w:p w:rsidR="00463414" w:rsidRPr="00463414" w:rsidRDefault="00463414" w:rsidP="00A22002">
      <w:pPr>
        <w:pStyle w:val="PargrafodaLista"/>
        <w:spacing w:after="200"/>
        <w:ind w:left="0" w:firstLine="720"/>
        <w:jc w:val="both"/>
        <w:rPr>
          <w:color w:val="FF0000"/>
          <w:szCs w:val="24"/>
        </w:rPr>
      </w:pPr>
      <w:r w:rsidRPr="00463414">
        <w:rPr>
          <w:b/>
          <w:color w:val="000000" w:themeColor="text1"/>
          <w:szCs w:val="24"/>
        </w:rPr>
        <w:t>JUSTIFICATIVA DO QUANTITATIVO</w:t>
      </w:r>
      <w:r>
        <w:rPr>
          <w:b/>
          <w:color w:val="000000" w:themeColor="text1"/>
          <w:szCs w:val="24"/>
        </w:rPr>
        <w:t xml:space="preserve">: </w:t>
      </w:r>
      <w:r>
        <w:rPr>
          <w:color w:val="FF0000"/>
          <w:szCs w:val="24"/>
        </w:rPr>
        <w:t xml:space="preserve">Será uma </w:t>
      </w:r>
      <w:r w:rsidR="00A22002">
        <w:rPr>
          <w:color w:val="FF0000"/>
          <w:szCs w:val="24"/>
        </w:rPr>
        <w:t xml:space="preserve">licença com dois acessos, visto </w:t>
      </w:r>
      <w:r>
        <w:rPr>
          <w:color w:val="FF0000"/>
          <w:szCs w:val="24"/>
        </w:rPr>
        <w:t>que são dois servidores.</w:t>
      </w:r>
    </w:p>
    <w:p w:rsidR="00463414" w:rsidRDefault="00463414" w:rsidP="00463414">
      <w:pPr>
        <w:pStyle w:val="PargrafodaLista"/>
        <w:spacing w:after="200" w:line="276" w:lineRule="auto"/>
        <w:jc w:val="both"/>
        <w:rPr>
          <w:color w:val="FF0000"/>
          <w:szCs w:val="24"/>
        </w:rPr>
      </w:pPr>
    </w:p>
    <w:p w:rsidR="0039748D" w:rsidRPr="0039748D" w:rsidRDefault="00463414" w:rsidP="00A22002">
      <w:pPr>
        <w:pStyle w:val="PargrafodaLista"/>
        <w:spacing w:after="200"/>
        <w:ind w:left="0" w:firstLine="720"/>
        <w:jc w:val="both"/>
        <w:rPr>
          <w:szCs w:val="24"/>
        </w:rPr>
      </w:pPr>
      <w:r w:rsidRPr="00463414">
        <w:rPr>
          <w:b/>
          <w:color w:val="000000" w:themeColor="text1"/>
          <w:szCs w:val="24"/>
        </w:rPr>
        <w:t>JUSTIFICATIVA DE SUSTENTABILIDADE</w:t>
      </w:r>
      <w:r>
        <w:rPr>
          <w:b/>
          <w:color w:val="000000" w:themeColor="text1"/>
          <w:szCs w:val="24"/>
        </w:rPr>
        <w:t xml:space="preserve">: </w:t>
      </w:r>
      <w:r w:rsidR="0039748D" w:rsidRPr="0039748D">
        <w:rPr>
          <w:szCs w:val="24"/>
        </w:rPr>
        <w:t xml:space="preserve">No pilar </w:t>
      </w:r>
      <w:r w:rsidRPr="0039748D">
        <w:rPr>
          <w:szCs w:val="24"/>
        </w:rPr>
        <w:t xml:space="preserve">econômico </w:t>
      </w:r>
      <w:r w:rsidR="0039748D" w:rsidRPr="0039748D">
        <w:rPr>
          <w:szCs w:val="24"/>
        </w:rPr>
        <w:t>pode-se destacar a aquisição pelo critério menor preço e abaixo do preço médio estimado. Já no pilar</w:t>
      </w:r>
      <w:r w:rsidRPr="0039748D">
        <w:rPr>
          <w:szCs w:val="24"/>
        </w:rPr>
        <w:t xml:space="preserve"> social </w:t>
      </w:r>
      <w:r w:rsidR="0039748D" w:rsidRPr="0039748D">
        <w:rPr>
          <w:szCs w:val="24"/>
        </w:rPr>
        <w:t>destaca-se a contribuição da empresa como sujeito social, cumpridora de suas obrigações</w:t>
      </w:r>
      <w:r w:rsidR="0039748D">
        <w:rPr>
          <w:szCs w:val="24"/>
        </w:rPr>
        <w:t xml:space="preserve"> legais, fiscais e trabalhistas, o que será verificado no ato de contratação (emissão de empenho).</w:t>
      </w:r>
    </w:p>
    <w:p w:rsidR="0039748D" w:rsidRPr="0039748D" w:rsidRDefault="0039748D" w:rsidP="00A22002">
      <w:pPr>
        <w:pStyle w:val="PargrafodaLista"/>
        <w:jc w:val="both"/>
        <w:rPr>
          <w:szCs w:val="24"/>
        </w:rPr>
      </w:pPr>
      <w:r w:rsidRPr="0039748D">
        <w:rPr>
          <w:szCs w:val="24"/>
        </w:rPr>
        <w:t xml:space="preserve">São diretrizes básicas de sustentabilidade aplicadas </w:t>
      </w:r>
      <w:r>
        <w:rPr>
          <w:szCs w:val="24"/>
        </w:rPr>
        <w:t>a este termo</w:t>
      </w:r>
      <w:r w:rsidRPr="0039748D">
        <w:rPr>
          <w:szCs w:val="24"/>
        </w:rPr>
        <w:t>:</w:t>
      </w:r>
    </w:p>
    <w:p w:rsidR="0039748D" w:rsidRPr="0039748D" w:rsidRDefault="0039748D" w:rsidP="00CC089D">
      <w:pPr>
        <w:pStyle w:val="Nvel3"/>
        <w:numPr>
          <w:ilvl w:val="3"/>
          <w:numId w:val="7"/>
        </w:numPr>
        <w:spacing w:before="0" w:after="0"/>
        <w:rPr>
          <w:rFonts w:eastAsia="Times New Roman" w:cs="Times New Roman"/>
          <w:szCs w:val="24"/>
          <w:lang w:eastAsia="pt-BR"/>
        </w:rPr>
      </w:pPr>
      <w:r w:rsidRPr="0039748D">
        <w:rPr>
          <w:rFonts w:eastAsia="Times New Roman" w:cs="Times New Roman"/>
          <w:szCs w:val="24"/>
          <w:lang w:eastAsia="pt-BR"/>
        </w:rPr>
        <w:t>Maior eficiência na utilização de recursos naturais como água e energia;</w:t>
      </w:r>
    </w:p>
    <w:p w:rsidR="0039748D" w:rsidRPr="0039748D" w:rsidRDefault="0039748D" w:rsidP="00CC089D">
      <w:pPr>
        <w:pStyle w:val="Nvel3"/>
        <w:numPr>
          <w:ilvl w:val="3"/>
          <w:numId w:val="7"/>
        </w:numPr>
        <w:spacing w:before="0" w:after="0"/>
        <w:rPr>
          <w:rFonts w:eastAsia="Times New Roman" w:cs="Times New Roman"/>
          <w:szCs w:val="24"/>
          <w:lang w:eastAsia="pt-BR"/>
        </w:rPr>
      </w:pPr>
      <w:r w:rsidRPr="0039748D">
        <w:rPr>
          <w:rFonts w:eastAsia="Times New Roman" w:cs="Times New Roman"/>
          <w:szCs w:val="24"/>
          <w:lang w:eastAsia="pt-BR"/>
        </w:rPr>
        <w:t>Uso de inovações que reduzam a pressão sobre recursos naturais;</w:t>
      </w:r>
    </w:p>
    <w:p w:rsidR="0039748D" w:rsidRPr="0039748D" w:rsidRDefault="0039748D" w:rsidP="00CC089D">
      <w:pPr>
        <w:keepLines/>
        <w:spacing w:before="120" w:after="120"/>
        <w:ind w:firstLine="709"/>
        <w:jc w:val="both"/>
        <w:rPr>
          <w:szCs w:val="24"/>
        </w:rPr>
      </w:pPr>
      <w:r w:rsidRPr="0039748D">
        <w:rPr>
          <w:szCs w:val="24"/>
        </w:rPr>
        <w:t>Nos termos do Art. 5º da Instrução Normativa SLTI/MPOG nº 01, de 19 de janeiro de 2010, aplica-se ao objeto deste termo:</w:t>
      </w:r>
    </w:p>
    <w:p w:rsidR="0039748D" w:rsidRPr="00CC089D" w:rsidRDefault="0039748D" w:rsidP="00A22002">
      <w:pPr>
        <w:ind w:left="2268"/>
        <w:jc w:val="both"/>
        <w:rPr>
          <w:sz w:val="22"/>
          <w:szCs w:val="24"/>
        </w:rPr>
      </w:pPr>
      <w:r w:rsidRPr="00CC089D">
        <w:rPr>
          <w:sz w:val="22"/>
          <w:szCs w:val="24"/>
        </w:rPr>
        <w:lastRenderedPageBreak/>
        <w:t>II – que sejam observados os requisitos ambientais para a obtenção de certificação do Instituto Nacional de Metrologia, Normalização e Qualidade Industrial – INMETRO como produtos sustentáveis ou de menor impacto ambiental em relação aos seus similares;</w:t>
      </w:r>
    </w:p>
    <w:p w:rsidR="0039748D" w:rsidRPr="00CC089D" w:rsidRDefault="0039748D" w:rsidP="00A22002">
      <w:pPr>
        <w:ind w:left="2268"/>
        <w:jc w:val="both"/>
        <w:rPr>
          <w:sz w:val="22"/>
          <w:szCs w:val="24"/>
        </w:rPr>
      </w:pPr>
      <w:r w:rsidRPr="00CC089D">
        <w:rPr>
          <w:sz w:val="22"/>
          <w:szCs w:val="24"/>
        </w:rPr>
        <w:t>III – que os bens devam ser, preferencialmente, acondicionados em embalagem individual adequada, com o menor volume possível, que utilize materiais recicláveis, de forma a garantir a máxima proteção durante o transporte e o armazenamento; e</w:t>
      </w:r>
    </w:p>
    <w:p w:rsidR="0039748D" w:rsidRPr="00CC089D" w:rsidRDefault="0039748D" w:rsidP="00A22002">
      <w:pPr>
        <w:ind w:left="2268"/>
        <w:jc w:val="both"/>
        <w:rPr>
          <w:sz w:val="22"/>
          <w:szCs w:val="24"/>
        </w:rPr>
      </w:pPr>
      <w:r w:rsidRPr="00CC089D">
        <w:rPr>
          <w:sz w:val="22"/>
          <w:szCs w:val="24"/>
        </w:rPr>
        <w:t xml:space="preserve">IV – que os bens não contenham substâncias perigosas em concentração acima da recomendada na diretiva </w:t>
      </w:r>
      <w:proofErr w:type="spellStart"/>
      <w:r w:rsidRPr="00CC089D">
        <w:rPr>
          <w:sz w:val="22"/>
          <w:szCs w:val="24"/>
        </w:rPr>
        <w:t>RoHS</w:t>
      </w:r>
      <w:proofErr w:type="spellEnd"/>
      <w:r w:rsidRPr="00CC089D">
        <w:rPr>
          <w:sz w:val="22"/>
          <w:szCs w:val="24"/>
        </w:rPr>
        <w:t xml:space="preserve"> (</w:t>
      </w:r>
      <w:proofErr w:type="spellStart"/>
      <w:r w:rsidRPr="00CC089D">
        <w:rPr>
          <w:sz w:val="22"/>
          <w:szCs w:val="24"/>
        </w:rPr>
        <w:t>Restriction</w:t>
      </w:r>
      <w:proofErr w:type="spellEnd"/>
      <w:r w:rsidRPr="00CC089D">
        <w:rPr>
          <w:sz w:val="22"/>
          <w:szCs w:val="24"/>
        </w:rPr>
        <w:t xml:space="preserve"> </w:t>
      </w:r>
      <w:proofErr w:type="spellStart"/>
      <w:r w:rsidRPr="00CC089D">
        <w:rPr>
          <w:sz w:val="22"/>
          <w:szCs w:val="24"/>
        </w:rPr>
        <w:t>of</w:t>
      </w:r>
      <w:proofErr w:type="spellEnd"/>
      <w:r w:rsidRPr="00CC089D">
        <w:rPr>
          <w:sz w:val="22"/>
          <w:szCs w:val="24"/>
        </w:rPr>
        <w:t xml:space="preserve"> </w:t>
      </w:r>
      <w:proofErr w:type="spellStart"/>
      <w:r w:rsidRPr="00CC089D">
        <w:rPr>
          <w:sz w:val="22"/>
          <w:szCs w:val="24"/>
        </w:rPr>
        <w:t>Certain</w:t>
      </w:r>
      <w:proofErr w:type="spellEnd"/>
      <w:r w:rsidRPr="00CC089D">
        <w:rPr>
          <w:sz w:val="22"/>
          <w:szCs w:val="24"/>
        </w:rPr>
        <w:t xml:space="preserve"> </w:t>
      </w:r>
      <w:proofErr w:type="spellStart"/>
      <w:r w:rsidRPr="00CC089D">
        <w:rPr>
          <w:sz w:val="22"/>
          <w:szCs w:val="24"/>
        </w:rPr>
        <w:t>Hazardous</w:t>
      </w:r>
      <w:proofErr w:type="spellEnd"/>
      <w:r w:rsidRPr="00CC089D">
        <w:rPr>
          <w:sz w:val="22"/>
          <w:szCs w:val="24"/>
        </w:rPr>
        <w:t xml:space="preserve"> </w:t>
      </w:r>
      <w:proofErr w:type="spellStart"/>
      <w:r w:rsidRPr="00CC089D">
        <w:rPr>
          <w:sz w:val="22"/>
          <w:szCs w:val="24"/>
        </w:rPr>
        <w:t>Substances</w:t>
      </w:r>
      <w:proofErr w:type="spellEnd"/>
      <w:r w:rsidRPr="00CC089D">
        <w:rPr>
          <w:sz w:val="22"/>
          <w:szCs w:val="24"/>
        </w:rPr>
        <w:t>), tais como mercúrio (Hg), chumbo (</w:t>
      </w:r>
      <w:proofErr w:type="spellStart"/>
      <w:r w:rsidRPr="00CC089D">
        <w:rPr>
          <w:sz w:val="22"/>
          <w:szCs w:val="24"/>
        </w:rPr>
        <w:t>Pb</w:t>
      </w:r>
      <w:proofErr w:type="spellEnd"/>
      <w:r w:rsidRPr="00CC089D">
        <w:rPr>
          <w:sz w:val="22"/>
          <w:szCs w:val="24"/>
        </w:rPr>
        <w:t xml:space="preserve">), cromo </w:t>
      </w:r>
      <w:proofErr w:type="spellStart"/>
      <w:r w:rsidRPr="00CC089D">
        <w:rPr>
          <w:sz w:val="22"/>
          <w:szCs w:val="24"/>
        </w:rPr>
        <w:t>hexavalente</w:t>
      </w:r>
      <w:proofErr w:type="spellEnd"/>
      <w:r w:rsidRPr="00CC089D">
        <w:rPr>
          <w:sz w:val="22"/>
          <w:szCs w:val="24"/>
        </w:rPr>
        <w:t xml:space="preserve"> (</w:t>
      </w:r>
      <w:proofErr w:type="gramStart"/>
      <w:r w:rsidRPr="00CC089D">
        <w:rPr>
          <w:sz w:val="22"/>
          <w:szCs w:val="24"/>
        </w:rPr>
        <w:t>Cr(</w:t>
      </w:r>
      <w:proofErr w:type="gramEnd"/>
      <w:r w:rsidRPr="00CC089D">
        <w:rPr>
          <w:sz w:val="22"/>
          <w:szCs w:val="24"/>
        </w:rPr>
        <w:t>VI)), cádmio (</w:t>
      </w:r>
      <w:proofErr w:type="spellStart"/>
      <w:r w:rsidRPr="00CC089D">
        <w:rPr>
          <w:sz w:val="22"/>
          <w:szCs w:val="24"/>
        </w:rPr>
        <w:t>Cd</w:t>
      </w:r>
      <w:proofErr w:type="spellEnd"/>
      <w:r w:rsidRPr="00CC089D">
        <w:rPr>
          <w:sz w:val="22"/>
          <w:szCs w:val="24"/>
        </w:rPr>
        <w:t xml:space="preserve">), </w:t>
      </w:r>
      <w:proofErr w:type="spellStart"/>
      <w:r w:rsidRPr="00CC089D">
        <w:rPr>
          <w:sz w:val="22"/>
          <w:szCs w:val="24"/>
        </w:rPr>
        <w:t>bifenil-polibromados</w:t>
      </w:r>
      <w:proofErr w:type="spellEnd"/>
      <w:r w:rsidRPr="00CC089D">
        <w:rPr>
          <w:sz w:val="22"/>
          <w:szCs w:val="24"/>
        </w:rPr>
        <w:t xml:space="preserve"> (</w:t>
      </w:r>
      <w:proofErr w:type="spellStart"/>
      <w:r w:rsidRPr="00CC089D">
        <w:rPr>
          <w:sz w:val="22"/>
          <w:szCs w:val="24"/>
        </w:rPr>
        <w:t>PBBs</w:t>
      </w:r>
      <w:proofErr w:type="spellEnd"/>
      <w:r w:rsidRPr="00CC089D">
        <w:rPr>
          <w:sz w:val="22"/>
          <w:szCs w:val="24"/>
        </w:rPr>
        <w:t xml:space="preserve">), éteres </w:t>
      </w:r>
      <w:proofErr w:type="spellStart"/>
      <w:r w:rsidRPr="00CC089D">
        <w:rPr>
          <w:sz w:val="22"/>
          <w:szCs w:val="24"/>
        </w:rPr>
        <w:t>difenil-polibromados</w:t>
      </w:r>
      <w:proofErr w:type="spellEnd"/>
      <w:r w:rsidRPr="00CC089D">
        <w:rPr>
          <w:sz w:val="22"/>
          <w:szCs w:val="24"/>
        </w:rPr>
        <w:t xml:space="preserve"> (</w:t>
      </w:r>
      <w:proofErr w:type="spellStart"/>
      <w:r w:rsidRPr="00CC089D">
        <w:rPr>
          <w:sz w:val="22"/>
          <w:szCs w:val="24"/>
        </w:rPr>
        <w:t>PBDEs</w:t>
      </w:r>
      <w:proofErr w:type="spellEnd"/>
      <w:r w:rsidRPr="00CC089D">
        <w:rPr>
          <w:sz w:val="22"/>
          <w:szCs w:val="24"/>
        </w:rPr>
        <w:t>).</w:t>
      </w:r>
    </w:p>
    <w:p w:rsidR="0039748D" w:rsidRPr="0039748D" w:rsidRDefault="00CC089D" w:rsidP="00CC089D">
      <w:pPr>
        <w:pStyle w:val="PargrafodaLista"/>
        <w:tabs>
          <w:tab w:val="left" w:pos="2790"/>
          <w:tab w:val="left" w:pos="2880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560658" w:rsidRPr="007D6A6E" w:rsidRDefault="00560658" w:rsidP="00A22002">
      <w:pPr>
        <w:ind w:firstLine="708"/>
        <w:jc w:val="both"/>
        <w:rPr>
          <w:color w:val="FF0000"/>
          <w:szCs w:val="24"/>
        </w:rPr>
      </w:pPr>
      <w:r w:rsidRPr="006001D9">
        <w:rPr>
          <w:b/>
          <w:szCs w:val="24"/>
        </w:rPr>
        <w:t xml:space="preserve">IMPORTÂNCIA DA AQUISIÇÃO </w:t>
      </w:r>
      <w:r>
        <w:rPr>
          <w:b/>
          <w:szCs w:val="24"/>
        </w:rPr>
        <w:t xml:space="preserve">DO PRODUTO: </w:t>
      </w:r>
      <w:r w:rsidRPr="007D6A6E">
        <w:rPr>
          <w:color w:val="FF0000"/>
          <w:szCs w:val="24"/>
        </w:rPr>
        <w:t>A aquisição desse produto é imprescindível para a manutenção do bom funcionamento dos setores deste Centro, bem como dos cursos oferecidos aqui. Além disso, vai permitir trazer celeridade, eficiência e eficácia ao serviço prestado pela Divisão de Compras e, por consequência, aos demais envolvidos, direta ou indiretamente, com essa divisão.</w:t>
      </w:r>
    </w:p>
    <w:p w:rsidR="000E6BA6" w:rsidRPr="007D6A6E" w:rsidRDefault="000E6BA6">
      <w:pPr>
        <w:rPr>
          <w:color w:val="FF0000"/>
          <w:szCs w:val="24"/>
        </w:rPr>
      </w:pPr>
    </w:p>
    <w:p w:rsidR="000E6BA6" w:rsidRPr="00F337C9" w:rsidRDefault="00F337C9" w:rsidP="00A22002">
      <w:pPr>
        <w:ind w:firstLine="709"/>
        <w:jc w:val="both"/>
        <w:rPr>
          <w:color w:val="000000"/>
          <w:szCs w:val="24"/>
        </w:rPr>
      </w:pPr>
      <w:r>
        <w:rPr>
          <w:b/>
          <w:szCs w:val="24"/>
        </w:rPr>
        <w:t xml:space="preserve">VALOR E RECURSOS ORÇAMENTÁRIOS: </w:t>
      </w:r>
      <w:r w:rsidR="000E6BA6" w:rsidRPr="007D6A6E">
        <w:rPr>
          <w:color w:val="FF0000"/>
          <w:szCs w:val="24"/>
        </w:rPr>
        <w:t xml:space="preserve">O valor global estimado da presente contratação é de </w:t>
      </w:r>
      <w:r w:rsidR="000E6BA6" w:rsidRPr="007D6A6E">
        <w:rPr>
          <w:b/>
          <w:color w:val="FF0000"/>
          <w:szCs w:val="24"/>
        </w:rPr>
        <w:t xml:space="preserve">R$ </w:t>
      </w:r>
      <w:proofErr w:type="gramStart"/>
      <w:r w:rsidR="00CC089D">
        <w:rPr>
          <w:b/>
          <w:color w:val="FF0000"/>
          <w:szCs w:val="24"/>
        </w:rPr>
        <w:t>X</w:t>
      </w:r>
      <w:r w:rsidR="00541854" w:rsidRPr="007D6A6E">
        <w:rPr>
          <w:b/>
          <w:color w:val="FF0000"/>
          <w:szCs w:val="24"/>
        </w:rPr>
        <w:t>.</w:t>
      </w:r>
      <w:r w:rsidR="00CC089D">
        <w:rPr>
          <w:b/>
          <w:color w:val="FF0000"/>
          <w:szCs w:val="24"/>
        </w:rPr>
        <w:t>XXX</w:t>
      </w:r>
      <w:r w:rsidR="00541854" w:rsidRPr="007D6A6E">
        <w:rPr>
          <w:b/>
          <w:color w:val="FF0000"/>
          <w:szCs w:val="24"/>
        </w:rPr>
        <w:t>,</w:t>
      </w:r>
      <w:r w:rsidR="00CC089D">
        <w:rPr>
          <w:b/>
          <w:color w:val="FF0000"/>
          <w:szCs w:val="24"/>
        </w:rPr>
        <w:t>XX</w:t>
      </w:r>
      <w:proofErr w:type="gramEnd"/>
      <w:r w:rsidR="003C275B" w:rsidRPr="007D6A6E">
        <w:rPr>
          <w:b/>
          <w:color w:val="FF0000"/>
          <w:szCs w:val="24"/>
        </w:rPr>
        <w:t xml:space="preserve"> (</w:t>
      </w:r>
      <w:r w:rsidR="00CC089D">
        <w:rPr>
          <w:b/>
          <w:color w:val="FF0000"/>
          <w:szCs w:val="24"/>
        </w:rPr>
        <w:t>XXXX</w:t>
      </w:r>
      <w:r w:rsidR="00541854" w:rsidRPr="007D6A6E">
        <w:rPr>
          <w:b/>
          <w:color w:val="FF0000"/>
          <w:szCs w:val="24"/>
        </w:rPr>
        <w:t xml:space="preserve"> mil, </w:t>
      </w:r>
      <w:r w:rsidR="00CC089D">
        <w:rPr>
          <w:b/>
          <w:color w:val="FF0000"/>
          <w:szCs w:val="24"/>
        </w:rPr>
        <w:t>XXXX</w:t>
      </w:r>
      <w:r w:rsidR="00541854" w:rsidRPr="007D6A6E">
        <w:rPr>
          <w:b/>
          <w:color w:val="FF0000"/>
          <w:szCs w:val="24"/>
        </w:rPr>
        <w:t xml:space="preserve"> e </w:t>
      </w:r>
      <w:r w:rsidR="00CC089D">
        <w:rPr>
          <w:b/>
          <w:color w:val="FF0000"/>
          <w:szCs w:val="24"/>
        </w:rPr>
        <w:t>XXXXXX</w:t>
      </w:r>
      <w:r w:rsidR="003C275B" w:rsidRPr="007D6A6E">
        <w:rPr>
          <w:b/>
          <w:color w:val="FF0000"/>
          <w:szCs w:val="24"/>
        </w:rPr>
        <w:t xml:space="preserve"> reais</w:t>
      </w:r>
      <w:r w:rsidR="000E6BA6" w:rsidRPr="007D6A6E">
        <w:rPr>
          <w:b/>
          <w:color w:val="FF0000"/>
          <w:szCs w:val="24"/>
        </w:rPr>
        <w:t>).</w:t>
      </w:r>
      <w:r w:rsidR="000E6BA6" w:rsidRPr="007D6A6E">
        <w:rPr>
          <w:color w:val="FF0000"/>
          <w:szCs w:val="24"/>
        </w:rPr>
        <w:t xml:space="preserve"> </w:t>
      </w:r>
      <w:r w:rsidRPr="007D6A6E">
        <w:rPr>
          <w:color w:val="FF0000"/>
          <w:szCs w:val="24"/>
        </w:rPr>
        <w:t xml:space="preserve"> </w:t>
      </w:r>
      <w:r w:rsidR="000E6BA6" w:rsidRPr="007D6A6E">
        <w:rPr>
          <w:rStyle w:val="apple-style-span"/>
          <w:color w:val="FF0000"/>
          <w:szCs w:val="24"/>
          <w:shd w:val="clear" w:color="auto" w:fill="FFFFFF"/>
        </w:rPr>
        <w:t xml:space="preserve">Os recursos para atender as despesas decorrentes desta </w:t>
      </w:r>
      <w:r w:rsidR="00CC089D">
        <w:rPr>
          <w:rStyle w:val="apple-style-span"/>
          <w:color w:val="FF0000"/>
          <w:szCs w:val="24"/>
          <w:shd w:val="clear" w:color="auto" w:fill="FFFFFF"/>
        </w:rPr>
        <w:t>contratação</w:t>
      </w:r>
      <w:r w:rsidR="000E6BA6" w:rsidRPr="007D6A6E">
        <w:rPr>
          <w:rStyle w:val="apple-style-span"/>
          <w:color w:val="FF0000"/>
          <w:szCs w:val="24"/>
          <w:shd w:val="clear" w:color="auto" w:fill="FFFFFF"/>
        </w:rPr>
        <w:t xml:space="preserve"> são </w:t>
      </w:r>
      <w:r w:rsidR="00CC089D">
        <w:rPr>
          <w:rStyle w:val="apple-style-span"/>
          <w:color w:val="FF0000"/>
          <w:szCs w:val="24"/>
          <w:shd w:val="clear" w:color="auto" w:fill="FFFFFF"/>
        </w:rPr>
        <w:t>oriundos do PAI – 20XX</w:t>
      </w:r>
      <w:r w:rsidR="00485C9F" w:rsidRPr="007D6A6E">
        <w:rPr>
          <w:rStyle w:val="apple-style-span"/>
          <w:color w:val="FF0000"/>
          <w:szCs w:val="24"/>
          <w:shd w:val="clear" w:color="auto" w:fill="FFFFFF"/>
        </w:rPr>
        <w:t>,</w:t>
      </w:r>
      <w:r w:rsidR="00463414">
        <w:rPr>
          <w:color w:val="FF0000"/>
        </w:rPr>
        <w:t xml:space="preserve"> </w:t>
      </w:r>
      <w:r w:rsidR="00485C9F" w:rsidRPr="007D6A6E">
        <w:rPr>
          <w:rStyle w:val="apple-style-span"/>
          <w:color w:val="FF0000"/>
          <w:szCs w:val="24"/>
          <w:shd w:val="clear" w:color="auto" w:fill="FFFFFF"/>
        </w:rPr>
        <w:t>Ação: 07.CAA.01: ANUIDADE DO ACESSO AO SITE DE CONSULTA DE PREÇOS - BANCO DE PREÇOS</w:t>
      </w:r>
      <w:r w:rsidR="00CC089D">
        <w:rPr>
          <w:rStyle w:val="apple-style-span"/>
          <w:color w:val="FF0000"/>
          <w:szCs w:val="24"/>
          <w:shd w:val="clear" w:color="auto" w:fill="FFFFFF"/>
        </w:rPr>
        <w:t xml:space="preserve"> ou da M</w:t>
      </w:r>
      <w:r w:rsidR="00463414">
        <w:rPr>
          <w:rStyle w:val="apple-style-span"/>
          <w:color w:val="FF0000"/>
          <w:szCs w:val="24"/>
          <w:shd w:val="clear" w:color="auto" w:fill="FFFFFF"/>
        </w:rPr>
        <w:t>odalidade de Alocação de Recursos (</w:t>
      </w:r>
      <w:proofErr w:type="gramStart"/>
      <w:r w:rsidR="00463414">
        <w:rPr>
          <w:rStyle w:val="apple-style-span"/>
          <w:color w:val="FF0000"/>
          <w:szCs w:val="24"/>
          <w:shd w:val="clear" w:color="auto" w:fill="FFFFFF"/>
        </w:rPr>
        <w:t>MODALOC)/</w:t>
      </w:r>
      <w:proofErr w:type="gramEnd"/>
      <w:r w:rsidR="00463414">
        <w:rPr>
          <w:rStyle w:val="apple-style-span"/>
          <w:color w:val="FF0000"/>
          <w:szCs w:val="24"/>
          <w:shd w:val="clear" w:color="auto" w:fill="FFFFFF"/>
        </w:rPr>
        <w:t>CAA/20XX.</w:t>
      </w:r>
    </w:p>
    <w:p w:rsidR="005171F9" w:rsidRDefault="005171F9" w:rsidP="00F337C9">
      <w:pPr>
        <w:rPr>
          <w:rFonts w:eastAsia="Calibri"/>
          <w:b/>
          <w:szCs w:val="24"/>
        </w:rPr>
      </w:pPr>
    </w:p>
    <w:p w:rsidR="002F2FD8" w:rsidRPr="00547AC4" w:rsidRDefault="002F2FD8" w:rsidP="00A22002">
      <w:pPr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>Sem mais para o momento, subscrevo-me.</w:t>
      </w:r>
    </w:p>
    <w:p w:rsidR="002F2FD8" w:rsidRPr="00547AC4" w:rsidRDefault="002F2FD8" w:rsidP="00A22002">
      <w:pPr>
        <w:shd w:val="clear" w:color="auto" w:fill="FFFFFF"/>
        <w:ind w:firstLine="708"/>
        <w:jc w:val="both"/>
        <w:rPr>
          <w:szCs w:val="24"/>
        </w:rPr>
      </w:pPr>
      <w:r w:rsidRPr="00547AC4">
        <w:rPr>
          <w:szCs w:val="24"/>
        </w:rPr>
        <w:t>Atenciosamente,</w:t>
      </w:r>
    </w:p>
    <w:p w:rsidR="002F2FD8" w:rsidRDefault="00C326AE" w:rsidP="00C326AE">
      <w:pPr>
        <w:jc w:val="right"/>
        <w:rPr>
          <w:rFonts w:eastAsia="Calibri"/>
          <w:szCs w:val="24"/>
        </w:rPr>
      </w:pPr>
      <w:r w:rsidRPr="00BC5924">
        <w:rPr>
          <w:rFonts w:eastAsia="Calibri"/>
          <w:szCs w:val="24"/>
        </w:rPr>
        <w:t xml:space="preserve">Caruaru, </w:t>
      </w:r>
      <w:proofErr w:type="spellStart"/>
      <w:r w:rsidR="000627D8">
        <w:rPr>
          <w:rFonts w:eastAsia="Calibri"/>
          <w:color w:val="FF0000"/>
          <w:szCs w:val="24"/>
        </w:rPr>
        <w:t>xx</w:t>
      </w:r>
      <w:proofErr w:type="spellEnd"/>
      <w:r w:rsidRPr="00BC5924">
        <w:rPr>
          <w:rFonts w:eastAsia="Calibri"/>
          <w:color w:val="FF0000"/>
          <w:szCs w:val="24"/>
        </w:rPr>
        <w:t xml:space="preserve"> </w:t>
      </w:r>
      <w:r w:rsidRPr="004F6757">
        <w:rPr>
          <w:rFonts w:eastAsia="Calibri"/>
          <w:szCs w:val="24"/>
        </w:rPr>
        <w:t xml:space="preserve">de </w:t>
      </w:r>
      <w:proofErr w:type="spellStart"/>
      <w:r w:rsidR="000627D8">
        <w:rPr>
          <w:rFonts w:eastAsia="Calibri"/>
          <w:color w:val="FF0000"/>
          <w:szCs w:val="24"/>
        </w:rPr>
        <w:t>xxxx</w:t>
      </w:r>
      <w:proofErr w:type="spellEnd"/>
      <w:r w:rsidRPr="00BC5924">
        <w:rPr>
          <w:rFonts w:eastAsia="Calibri"/>
          <w:color w:val="FF0000"/>
          <w:szCs w:val="24"/>
        </w:rPr>
        <w:t xml:space="preserve"> </w:t>
      </w:r>
      <w:r w:rsidRPr="004F6757">
        <w:rPr>
          <w:rFonts w:eastAsia="Calibri"/>
          <w:szCs w:val="24"/>
        </w:rPr>
        <w:t xml:space="preserve">de </w:t>
      </w:r>
      <w:r w:rsidRPr="00BC5924">
        <w:rPr>
          <w:rFonts w:eastAsia="Calibri"/>
          <w:color w:val="FF0000"/>
          <w:szCs w:val="24"/>
        </w:rPr>
        <w:t>20</w:t>
      </w:r>
      <w:r w:rsidR="000627D8">
        <w:rPr>
          <w:rFonts w:eastAsia="Calibri"/>
          <w:color w:val="FF0000"/>
          <w:szCs w:val="24"/>
        </w:rPr>
        <w:t>xx</w:t>
      </w:r>
      <w:r w:rsidRPr="00BC5924">
        <w:rPr>
          <w:rFonts w:eastAsia="Calibri"/>
          <w:szCs w:val="24"/>
        </w:rPr>
        <w:t>.</w:t>
      </w:r>
    </w:p>
    <w:p w:rsidR="00446F4A" w:rsidRDefault="00446F4A" w:rsidP="00C326AE">
      <w:pPr>
        <w:jc w:val="right"/>
        <w:rPr>
          <w:rFonts w:eastAsia="Calibri"/>
          <w:szCs w:val="24"/>
        </w:rPr>
      </w:pPr>
    </w:p>
    <w:p w:rsidR="00446F4A" w:rsidRDefault="00446F4A" w:rsidP="00C326AE">
      <w:pPr>
        <w:jc w:val="right"/>
        <w:rPr>
          <w:rFonts w:eastAsia="Calibri"/>
          <w:szCs w:val="24"/>
        </w:rPr>
      </w:pPr>
    </w:p>
    <w:p w:rsidR="00D94CBF" w:rsidRPr="00BC5924" w:rsidRDefault="00D94CBF" w:rsidP="00C326AE">
      <w:pPr>
        <w:jc w:val="right"/>
        <w:rPr>
          <w:rFonts w:eastAsia="Calibri"/>
          <w:szCs w:val="24"/>
        </w:rPr>
      </w:pPr>
    </w:p>
    <w:p w:rsidR="002F2FD8" w:rsidRDefault="002F2FD8" w:rsidP="006420B6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___________________________________________</w:t>
      </w:r>
    </w:p>
    <w:p w:rsidR="002F2FD8" w:rsidRDefault="002F2FD8" w:rsidP="006420B6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NOME</w:t>
      </w:r>
    </w:p>
    <w:p w:rsidR="002F2FD8" w:rsidRDefault="002F2FD8" w:rsidP="006420B6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CARGO</w:t>
      </w:r>
    </w:p>
    <w:p w:rsidR="002F2FD8" w:rsidRDefault="002F2FD8" w:rsidP="006420B6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SIAPE Nº: </w:t>
      </w:r>
    </w:p>
    <w:p w:rsidR="00CA56B8" w:rsidRDefault="00CA56B8" w:rsidP="006420B6">
      <w:pPr>
        <w:jc w:val="center"/>
        <w:rPr>
          <w:rFonts w:eastAsia="Calibri"/>
          <w:b/>
          <w:szCs w:val="24"/>
        </w:rPr>
      </w:pPr>
    </w:p>
    <w:tbl>
      <w:tblPr>
        <w:tblW w:w="5000" w:type="pct"/>
        <w:tblInd w:w="-284" w:type="dxa"/>
        <w:tblLook w:val="04A0" w:firstRow="1" w:lastRow="0" w:firstColumn="1" w:lastColumn="0" w:noHBand="0" w:noVBand="1"/>
      </w:tblPr>
      <w:tblGrid>
        <w:gridCol w:w="9071"/>
      </w:tblGrid>
      <w:tr w:rsidR="00CA56B8" w:rsidRPr="00706729" w:rsidTr="005A46AF">
        <w:trPr>
          <w:trHeight w:val="227"/>
        </w:trPr>
        <w:tc>
          <w:tcPr>
            <w:tcW w:w="2792" w:type="pct"/>
            <w:shd w:val="clear" w:color="auto" w:fill="auto"/>
          </w:tcPr>
          <w:p w:rsidR="00CA56B8" w:rsidRDefault="00CA56B8" w:rsidP="001D4E9F">
            <w:pPr>
              <w:tabs>
                <w:tab w:val="left" w:pos="1607"/>
              </w:tabs>
              <w:rPr>
                <w:szCs w:val="24"/>
              </w:rPr>
            </w:pPr>
            <w:r w:rsidRPr="00706729">
              <w:rPr>
                <w:szCs w:val="24"/>
              </w:rPr>
              <w:t>De acordo em _____/_____/______</w:t>
            </w:r>
          </w:p>
          <w:p w:rsidR="00CA56B8" w:rsidRDefault="00CA56B8" w:rsidP="00CB159D">
            <w:pPr>
              <w:tabs>
                <w:tab w:val="left" w:pos="1607"/>
              </w:tabs>
              <w:ind w:left="1607"/>
              <w:rPr>
                <w:szCs w:val="24"/>
              </w:rPr>
            </w:pPr>
          </w:p>
          <w:p w:rsidR="005A46AF" w:rsidRDefault="005A46AF" w:rsidP="00CB159D">
            <w:pPr>
              <w:tabs>
                <w:tab w:val="left" w:pos="1607"/>
              </w:tabs>
              <w:ind w:left="1607"/>
              <w:rPr>
                <w:szCs w:val="24"/>
              </w:rPr>
            </w:pPr>
            <w:bookmarkStart w:id="0" w:name="_GoBack"/>
            <w:bookmarkEnd w:id="0"/>
          </w:p>
          <w:p w:rsidR="00CA56B8" w:rsidRPr="00706729" w:rsidRDefault="00CA56B8" w:rsidP="00CB159D">
            <w:pPr>
              <w:tabs>
                <w:tab w:val="left" w:pos="1607"/>
              </w:tabs>
              <w:ind w:left="1607"/>
              <w:rPr>
                <w:szCs w:val="24"/>
              </w:rPr>
            </w:pPr>
          </w:p>
        </w:tc>
      </w:tr>
      <w:tr w:rsidR="00CA56B8" w:rsidRPr="00706729" w:rsidTr="005A46AF">
        <w:tc>
          <w:tcPr>
            <w:tcW w:w="2792" w:type="pct"/>
            <w:shd w:val="clear" w:color="auto" w:fill="auto"/>
          </w:tcPr>
          <w:p w:rsidR="00CA56B8" w:rsidRPr="00706729" w:rsidRDefault="00CA56B8" w:rsidP="00CA56B8">
            <w:pPr>
              <w:ind w:left="34"/>
              <w:jc w:val="center"/>
              <w:rPr>
                <w:szCs w:val="24"/>
              </w:rPr>
            </w:pPr>
            <w:r w:rsidRPr="00706729">
              <w:rPr>
                <w:szCs w:val="24"/>
              </w:rPr>
              <w:t>______________________________________</w:t>
            </w:r>
          </w:p>
          <w:p w:rsidR="00CA56B8" w:rsidRPr="00706729" w:rsidRDefault="00CA56B8" w:rsidP="001D4E9F">
            <w:pPr>
              <w:pStyle w:val="SemEspaamen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729">
              <w:rPr>
                <w:rFonts w:ascii="Times New Roman" w:hAnsi="Times New Roman"/>
                <w:b/>
                <w:sz w:val="24"/>
                <w:szCs w:val="24"/>
              </w:rPr>
              <w:t>Manoel Guedes Alcoforado Neto</w:t>
            </w:r>
          </w:p>
          <w:p w:rsidR="00CA56B8" w:rsidRPr="00706729" w:rsidRDefault="00CA56B8" w:rsidP="001D4E9F">
            <w:pPr>
              <w:ind w:left="29"/>
              <w:jc w:val="center"/>
              <w:rPr>
                <w:szCs w:val="24"/>
              </w:rPr>
            </w:pPr>
            <w:r w:rsidRPr="00706729">
              <w:rPr>
                <w:szCs w:val="24"/>
              </w:rPr>
              <w:t>Diretor do Campus do Agreste (CA)</w:t>
            </w:r>
          </w:p>
          <w:p w:rsidR="00CA56B8" w:rsidRPr="00706729" w:rsidRDefault="00CA56B8" w:rsidP="001D4E9F">
            <w:pPr>
              <w:ind w:left="29"/>
              <w:jc w:val="center"/>
              <w:rPr>
                <w:szCs w:val="24"/>
              </w:rPr>
            </w:pPr>
            <w:r w:rsidRPr="00706729">
              <w:rPr>
                <w:szCs w:val="24"/>
              </w:rPr>
              <w:t>SIAPE Nº 2496804</w:t>
            </w:r>
          </w:p>
        </w:tc>
      </w:tr>
    </w:tbl>
    <w:p w:rsidR="00CA56B8" w:rsidRPr="009E2F14" w:rsidRDefault="00CA56B8" w:rsidP="006420B6">
      <w:pPr>
        <w:jc w:val="center"/>
        <w:rPr>
          <w:rFonts w:eastAsia="Calibri"/>
          <w:b/>
          <w:szCs w:val="24"/>
        </w:rPr>
      </w:pPr>
    </w:p>
    <w:sectPr w:rsidR="00CA56B8" w:rsidRPr="009E2F14" w:rsidSect="00574EA3">
      <w:headerReference w:type="default" r:id="rId7"/>
      <w:footerReference w:type="default" r:id="rId8"/>
      <w:pgSz w:w="11906" w:h="16838"/>
      <w:pgMar w:top="1985" w:right="1134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45" w:rsidRDefault="004B3345" w:rsidP="00FD321E">
      <w:r>
        <w:separator/>
      </w:r>
    </w:p>
  </w:endnote>
  <w:endnote w:type="continuationSeparator" w:id="0">
    <w:p w:rsidR="004B3345" w:rsidRDefault="004B3345" w:rsidP="00FD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958" w:rsidRDefault="00413958" w:rsidP="005B1F99">
    <w:pPr>
      <w:pStyle w:val="Rodap"/>
      <w:jc w:val="right"/>
    </w:pPr>
    <w:r>
      <w:ptab w:relativeTo="margin" w:alignment="right" w:leader="none"/>
    </w:r>
    <w:r>
      <w:t>UNIVERSIDADE FEDERAL DE PERNAMBUCO – UFPE</w:t>
    </w:r>
  </w:p>
  <w:p w:rsidR="00413958" w:rsidRDefault="002A308F" w:rsidP="002A308F">
    <w:pPr>
      <w:pStyle w:val="Rodap"/>
      <w:jc w:val="center"/>
    </w:pPr>
    <w:r>
      <w:t xml:space="preserve">                </w:t>
    </w:r>
    <w:r w:rsidR="00413958">
      <w:t>Centro Acadêmico do Agreste – CAA</w:t>
    </w:r>
  </w:p>
  <w:p w:rsidR="00413958" w:rsidRDefault="002A308F" w:rsidP="002A308F">
    <w:pPr>
      <w:pStyle w:val="Rodap"/>
      <w:tabs>
        <w:tab w:val="clear" w:pos="4252"/>
        <w:tab w:val="center" w:pos="8222"/>
      </w:tabs>
      <w:jc w:val="center"/>
    </w:pPr>
    <w:r>
      <w:t xml:space="preserve">                                         </w:t>
    </w:r>
    <w:r w:rsidR="00413958">
      <w:t>Rod. BR 104, Km 59 – Nova Caruaru - Caruaru – PE</w:t>
    </w:r>
  </w:p>
  <w:p w:rsidR="00413958" w:rsidRDefault="002A308F" w:rsidP="002A308F">
    <w:pPr>
      <w:pStyle w:val="Rodap"/>
      <w:tabs>
        <w:tab w:val="clear" w:pos="4252"/>
        <w:tab w:val="center" w:pos="4536"/>
      </w:tabs>
    </w:pPr>
    <w:r>
      <w:t xml:space="preserve">                                                     </w:t>
    </w:r>
    <w:r w:rsidR="00EB1D2F">
      <w:t>CEP: 55.014-900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45" w:rsidRDefault="004B3345" w:rsidP="00FD321E">
      <w:r>
        <w:separator/>
      </w:r>
    </w:p>
  </w:footnote>
  <w:footnote w:type="continuationSeparator" w:id="0">
    <w:p w:rsidR="004B3345" w:rsidRDefault="004B3345" w:rsidP="00FD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1E" w:rsidRDefault="00FD321E" w:rsidP="00446F4A">
    <w:pPr>
      <w:pStyle w:val="Cabealho"/>
      <w:jc w:val="center"/>
    </w:pPr>
    <w:r>
      <w:ptab w:relativeTo="margin" w:alignment="center" w:leader="none"/>
    </w:r>
    <w:r w:rsidR="002A308F">
      <w:rPr>
        <w:noProof/>
      </w:rPr>
      <w:drawing>
        <wp:inline distT="0" distB="0" distL="0" distR="0" wp14:anchorId="6552DE79" wp14:editId="372DC35D">
          <wp:extent cx="2466975" cy="7810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66F6DB6"/>
    <w:multiLevelType w:val="hybridMultilevel"/>
    <w:tmpl w:val="451A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03DA"/>
    <w:multiLevelType w:val="multilevel"/>
    <w:tmpl w:val="DE8C4C8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3" w15:restartNumberingAfterBreak="0">
    <w:nsid w:val="287F5260"/>
    <w:multiLevelType w:val="hybridMultilevel"/>
    <w:tmpl w:val="E0EEC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1166"/>
    <w:multiLevelType w:val="multilevel"/>
    <w:tmpl w:val="7B8621CE"/>
    <w:lvl w:ilvl="0">
      <w:start w:val="1"/>
      <w:numFmt w:val="decimal"/>
      <w:lvlText w:val="%1."/>
      <w:lvlJc w:val="left"/>
      <w:pPr>
        <w:tabs>
          <w:tab w:val="num" w:pos="5246"/>
        </w:tabs>
        <w:ind w:left="552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041" w:hanging="90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CD4A56"/>
    <w:multiLevelType w:val="multilevel"/>
    <w:tmpl w:val="DE8C4C8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b/>
      </w:rPr>
    </w:lvl>
  </w:abstractNum>
  <w:abstractNum w:abstractNumId="6" w15:restartNumberingAfterBreak="0">
    <w:nsid w:val="752E2CB1"/>
    <w:multiLevelType w:val="multilevel"/>
    <w:tmpl w:val="6FD6C130"/>
    <w:lvl w:ilvl="0">
      <w:start w:val="1"/>
      <w:numFmt w:val="decimal"/>
      <w:lvlText w:val="%1."/>
      <w:lvlJc w:val="left"/>
      <w:pPr>
        <w:tabs>
          <w:tab w:val="num" w:pos="5246"/>
        </w:tabs>
        <w:ind w:left="552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041" w:hanging="90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40"/>
    <w:rsid w:val="000627D8"/>
    <w:rsid w:val="00076341"/>
    <w:rsid w:val="000C6B30"/>
    <w:rsid w:val="000D01DC"/>
    <w:rsid w:val="000D255D"/>
    <w:rsid w:val="000D3FB4"/>
    <w:rsid w:val="000E6BA6"/>
    <w:rsid w:val="0013202C"/>
    <w:rsid w:val="001559D1"/>
    <w:rsid w:val="00165CC8"/>
    <w:rsid w:val="00170940"/>
    <w:rsid w:val="0017507B"/>
    <w:rsid w:val="001B71D1"/>
    <w:rsid w:val="001C5FC7"/>
    <w:rsid w:val="001C6019"/>
    <w:rsid w:val="001D4E9F"/>
    <w:rsid w:val="001E4E37"/>
    <w:rsid w:val="001E62B9"/>
    <w:rsid w:val="001F0BF3"/>
    <w:rsid w:val="001F120E"/>
    <w:rsid w:val="00262BF5"/>
    <w:rsid w:val="00266FC8"/>
    <w:rsid w:val="00292211"/>
    <w:rsid w:val="00292A5C"/>
    <w:rsid w:val="002A308F"/>
    <w:rsid w:val="002A35A3"/>
    <w:rsid w:val="002B1E52"/>
    <w:rsid w:val="002C70CB"/>
    <w:rsid w:val="002D2CA2"/>
    <w:rsid w:val="002E6C81"/>
    <w:rsid w:val="002F2FD8"/>
    <w:rsid w:val="0032348E"/>
    <w:rsid w:val="00346EEA"/>
    <w:rsid w:val="00353B31"/>
    <w:rsid w:val="00364BE2"/>
    <w:rsid w:val="00393C1A"/>
    <w:rsid w:val="0039748D"/>
    <w:rsid w:val="003A5ADE"/>
    <w:rsid w:val="003A6166"/>
    <w:rsid w:val="003C275B"/>
    <w:rsid w:val="003C36EA"/>
    <w:rsid w:val="00413958"/>
    <w:rsid w:val="00443932"/>
    <w:rsid w:val="00446F4A"/>
    <w:rsid w:val="00463414"/>
    <w:rsid w:val="00463550"/>
    <w:rsid w:val="004660CF"/>
    <w:rsid w:val="00485C9F"/>
    <w:rsid w:val="00486B4A"/>
    <w:rsid w:val="004B3345"/>
    <w:rsid w:val="004D0012"/>
    <w:rsid w:val="004F2620"/>
    <w:rsid w:val="004F6757"/>
    <w:rsid w:val="005171F9"/>
    <w:rsid w:val="005343DC"/>
    <w:rsid w:val="00541854"/>
    <w:rsid w:val="00542435"/>
    <w:rsid w:val="00560658"/>
    <w:rsid w:val="005648B8"/>
    <w:rsid w:val="00574EA3"/>
    <w:rsid w:val="0057555B"/>
    <w:rsid w:val="005A46AF"/>
    <w:rsid w:val="005B1F99"/>
    <w:rsid w:val="00600DD6"/>
    <w:rsid w:val="00603700"/>
    <w:rsid w:val="00605825"/>
    <w:rsid w:val="00640BC8"/>
    <w:rsid w:val="006420B6"/>
    <w:rsid w:val="0064254B"/>
    <w:rsid w:val="006C11A2"/>
    <w:rsid w:val="006C2FC3"/>
    <w:rsid w:val="006E3445"/>
    <w:rsid w:val="00740057"/>
    <w:rsid w:val="00746316"/>
    <w:rsid w:val="00762754"/>
    <w:rsid w:val="007643A0"/>
    <w:rsid w:val="00797148"/>
    <w:rsid w:val="007A0CDF"/>
    <w:rsid w:val="007A4A24"/>
    <w:rsid w:val="007B05E1"/>
    <w:rsid w:val="007D6A6E"/>
    <w:rsid w:val="00814A58"/>
    <w:rsid w:val="00816F49"/>
    <w:rsid w:val="00860161"/>
    <w:rsid w:val="0088544A"/>
    <w:rsid w:val="00886B1A"/>
    <w:rsid w:val="00895817"/>
    <w:rsid w:val="008A2535"/>
    <w:rsid w:val="008C4F4E"/>
    <w:rsid w:val="009010C9"/>
    <w:rsid w:val="00960BDC"/>
    <w:rsid w:val="009622F8"/>
    <w:rsid w:val="00980DBB"/>
    <w:rsid w:val="009817FB"/>
    <w:rsid w:val="00981CED"/>
    <w:rsid w:val="00985CF2"/>
    <w:rsid w:val="009A0C28"/>
    <w:rsid w:val="009E2F14"/>
    <w:rsid w:val="009E39B7"/>
    <w:rsid w:val="00A10AB9"/>
    <w:rsid w:val="00A22002"/>
    <w:rsid w:val="00A273F1"/>
    <w:rsid w:val="00A42FFE"/>
    <w:rsid w:val="00A6685E"/>
    <w:rsid w:val="00A87874"/>
    <w:rsid w:val="00AA729D"/>
    <w:rsid w:val="00AD67AC"/>
    <w:rsid w:val="00AF5913"/>
    <w:rsid w:val="00B26A01"/>
    <w:rsid w:val="00B67F84"/>
    <w:rsid w:val="00B77542"/>
    <w:rsid w:val="00B82E70"/>
    <w:rsid w:val="00BC5924"/>
    <w:rsid w:val="00BF139E"/>
    <w:rsid w:val="00C03893"/>
    <w:rsid w:val="00C326AE"/>
    <w:rsid w:val="00C73E2C"/>
    <w:rsid w:val="00CA32A1"/>
    <w:rsid w:val="00CA56B8"/>
    <w:rsid w:val="00CC089D"/>
    <w:rsid w:val="00CC0EAA"/>
    <w:rsid w:val="00CE0955"/>
    <w:rsid w:val="00D1048C"/>
    <w:rsid w:val="00D379A3"/>
    <w:rsid w:val="00D94CBF"/>
    <w:rsid w:val="00DA415A"/>
    <w:rsid w:val="00DB69EE"/>
    <w:rsid w:val="00DC23EF"/>
    <w:rsid w:val="00DD5B34"/>
    <w:rsid w:val="00DE08CC"/>
    <w:rsid w:val="00E01D92"/>
    <w:rsid w:val="00E3287E"/>
    <w:rsid w:val="00E954EE"/>
    <w:rsid w:val="00EB1D2F"/>
    <w:rsid w:val="00EB4511"/>
    <w:rsid w:val="00F071AB"/>
    <w:rsid w:val="00F31AF7"/>
    <w:rsid w:val="00F337C9"/>
    <w:rsid w:val="00F40377"/>
    <w:rsid w:val="00FB5FBE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D1073B-6B48-4597-BEE1-1C67DD06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02"/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locked/>
    <w:rsid w:val="0039748D"/>
    <w:pPr>
      <w:keepNext/>
      <w:keepLines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hd w:val="clear" w:color="auto" w:fill="D9D9D9" w:themeFill="background1" w:themeFillShade="D9"/>
      <w:spacing w:before="240" w:after="120"/>
      <w:ind w:left="567" w:hanging="567"/>
      <w:outlineLvl w:val="0"/>
    </w:pPr>
    <w:rPr>
      <w:rFonts w:eastAsiaTheme="majorEastAsia"/>
      <w:b/>
      <w:smallCaps/>
      <w:color w:val="000000" w:themeColor="text1"/>
      <w:spacing w:val="5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locked/>
    <w:rsid w:val="00C0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uiPriority w:val="99"/>
    <w:rsid w:val="004D0012"/>
    <w:rPr>
      <w:rFonts w:cs="Times New Roman"/>
    </w:rPr>
  </w:style>
  <w:style w:type="paragraph" w:customStyle="1" w:styleId="WW-Corpodetexto2">
    <w:name w:val="WW-Corpo de texto 2"/>
    <w:basedOn w:val="Normal"/>
    <w:uiPriority w:val="99"/>
    <w:rsid w:val="008C4F4E"/>
    <w:pPr>
      <w:widowControl w:val="0"/>
      <w:suppressAutoHyphens/>
    </w:pPr>
    <w:rPr>
      <w:rFonts w:ascii="Thorndale" w:hAnsi="Thorndale"/>
      <w:color w:val="00000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8C4F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2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2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32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321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D32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21E"/>
    <w:rPr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48D"/>
    <w:rPr>
      <w:rFonts w:ascii="Times New Roman" w:eastAsiaTheme="majorEastAsia" w:hAnsi="Times New Roman"/>
      <w:b/>
      <w:smallCaps/>
      <w:color w:val="000000" w:themeColor="text1"/>
      <w:spacing w:val="5"/>
      <w:sz w:val="24"/>
      <w:szCs w:val="24"/>
      <w:shd w:val="clear" w:color="auto" w:fill="D9D9D9" w:themeFill="background1" w:themeFillShade="D9"/>
      <w:lang w:eastAsia="en-US"/>
    </w:rPr>
  </w:style>
  <w:style w:type="paragraph" w:customStyle="1" w:styleId="Nvel3">
    <w:name w:val="Nível 3"/>
    <w:basedOn w:val="Normal"/>
    <w:link w:val="Nvel3Char"/>
    <w:qFormat/>
    <w:rsid w:val="0039748D"/>
    <w:pPr>
      <w:keepLines/>
      <w:tabs>
        <w:tab w:val="num" w:pos="2268"/>
      </w:tabs>
      <w:spacing w:before="120" w:after="120"/>
      <w:ind w:left="2041" w:hanging="907"/>
      <w:jc w:val="both"/>
    </w:pPr>
    <w:rPr>
      <w:rFonts w:eastAsiaTheme="majorEastAsia" w:cstheme="majorBidi"/>
      <w:lang w:eastAsia="en-US"/>
    </w:rPr>
  </w:style>
  <w:style w:type="character" w:customStyle="1" w:styleId="Nvel3Char">
    <w:name w:val="Nível 3 Char"/>
    <w:basedOn w:val="Fontepargpadro"/>
    <w:link w:val="Nvel3"/>
    <w:rsid w:val="0039748D"/>
    <w:rPr>
      <w:rFonts w:ascii="Times New Roman" w:eastAsiaTheme="majorEastAsia" w:hAnsi="Times New Roman" w:cstheme="majorBidi"/>
      <w:sz w:val="22"/>
      <w:szCs w:val="22"/>
      <w:lang w:eastAsia="en-US"/>
    </w:rPr>
  </w:style>
  <w:style w:type="paragraph" w:styleId="SemEspaamento">
    <w:name w:val="No Spacing"/>
    <w:link w:val="SemEspaamentoChar"/>
    <w:uiPriority w:val="1"/>
    <w:qFormat/>
    <w:rsid w:val="00CA56B8"/>
    <w:rPr>
      <w:rFonts w:ascii="Arial" w:eastAsia="Calibri" w:hAnsi="Arial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56B8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UFPE</cp:lastModifiedBy>
  <cp:revision>7</cp:revision>
  <dcterms:created xsi:type="dcterms:W3CDTF">2018-07-10T11:22:00Z</dcterms:created>
  <dcterms:modified xsi:type="dcterms:W3CDTF">2019-05-06T15:57:00Z</dcterms:modified>
</cp:coreProperties>
</file>