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TABELA PARA AVALIAÇÃO DO CURRÍCULO LATTES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O/as candidato/as devem enviar no momento de inscrição no SIGAA um único arquivo contendo: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pastas nomeadas como indicado abaixo com os documentos (em pdf) de cada seção (cada pasta correspondendo a uma das tabelas de pontuação no item 3):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TITULACAO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 PROFISSIONAL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PESQUISA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PRODUCAO ACADEMICA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EXTENSAO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documentos comprobatórios devem ser nomeados observando, para cada quesito, a ordem e o «nome do documento anexado » em cada tabela abaixo. Exemplos: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pasta TITULAÇAO, arquivos nomeados T1a, T1b, T1c,, etc. são arquivos que comprovam a “Média do Histórico Escolar” – se for anexado apenas um arquivo ele deve ser nomeado T1a.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2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pasta EXPERIENCIA PROFISSIONAL, arquivos nomeados EP1a; EP1b, etc são arquivos que comprovam “docência no ensino fundamental”.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tabelas abaixo devem estar preenchidas de forma a conter na coluna “Nome do documento anexado” apenas os nomes de arquivos que foram anexados como comprovante pelo/a candidato/a (o PPGA fornecerá um documento em word com as tabelas para facilitar o preenchimento aos/as que solicitarem pelo e-mail: secretaria.ppga@ufpe.br.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– TITULAÇÃO (PESO 3):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267"/>
              </w:tabs>
              <w:spacing w:after="10" w:before="93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67"/>
              </w:tabs>
              <w:spacing w:after="10" w:before="93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Média do Histórico Escolar (escala de 0 a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T1a, T1b, T1c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Especialização em Antropologia e áreas afins (0,5 pontos para cada especialização)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T2a, T2b, T2c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Especialização em outras áreas (0,3 pontos para cada especialização)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T3a, T3b, T3c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67"/>
              </w:tabs>
              <w:spacing w:after="10" w:before="93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Disciplinas em cursos de pós-graduação na área do Programa (0,1 ponto para cada disciplina)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T4a, T4b, T4c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267"/>
              </w:tabs>
              <w:spacing w:after="10" w:before="93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Mestrado em outras áreas (1,0 ponto por mestrado)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T5a, T5b, T5c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EXPERIÊNCIA PROFISSIONAL (PESO 1):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Docência no ensino fundamental (0,2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EP1a, EP1b, EP1c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Docência no ensino médio em sociologia e áreas afins (0,5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EP2a, EP2b, EP2c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Docência no ensino superior em Antropologia ou áreas afins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(0,2 pontos por cada 30 horas)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EP3a, EP3b, EP3c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Profissional na área do Programa ou em áreas afins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(pesquisador, fiscal, perito, etc.)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EP4a, EP4b, EP4c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Consultoria em projetos de pesquisa, ensino e consultoria (0,5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EP5a, EP5b, EP5c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Monitoria (0,5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EP6a, EP6b, EP6c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Outras atividades (0,2 pontos para cada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EP7a, EP7b, EP7c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ATIVIDADES DE PESQUISA (PESO 2,5)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557.0" w:type="dxa"/>
        <w:tblLayout w:type="fixed"/>
        <w:tblLook w:val="0600"/>
      </w:tblPr>
      <w:tblGrid>
        <w:gridCol w:w="4419"/>
        <w:gridCol w:w="1567"/>
        <w:gridCol w:w="1567"/>
        <w:gridCol w:w="1567"/>
        <w:tblGridChange w:id="0">
          <w:tblGrid>
            <w:gridCol w:w="4419"/>
            <w:gridCol w:w="1567"/>
            <w:gridCol w:w="1567"/>
            <w:gridCol w:w="1567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Estágio voluntário em projeto de pesquisa, mínimo 120 horas (0,5 pontos para cada estágio)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AP1a, AP1b, AP1c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Bolsa de Iniciação Científica ou similar (0,5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AP2a, AP2b, AP2c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 de Iniciação Científica como voluntário (0,5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AP3a, AP3b, AP3c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Bolsa de aperfeiçoamento ou similar (1 pontos por semestre)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AP4a, AP4b, AP4c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Outras atividades de pesquisa relevantes (0,2 pontos por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AP5a, AP5b, AP5c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projeto de pesquisa aprovado por instâncias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pertinentes como graduado (0,5 pontos para cada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AP6a, AP6b, AP6c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PRODUÇÃO ACADÊMICA (PESO 2,5):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Apresentação de trabalhos/resumos em congressos de estudantes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PA1a, PA1b, PA1c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Apresentação de trabalhos/resumos em congressos profissionais locais/regionais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PA2a, PA2b, PA2c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Apresentação de trabalhos/resumos em congressos profissionais nacionais e/ou internacionais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PA3a, PA3b, PA3c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congressos profissionais locais, regionais, nacionais, ou internacionais (0,2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PA4a, PA4b, PA4c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de trabalhos completos em anais de congresso nacional e/ou internacional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PA5a, PA5b, PA5c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em revista nacional/internacional inclusa no Qualis/CAPES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PA6a, PA6b, PA6c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em revista nacional/internacional sem Qualis/CAPES e produção áudio visual (0,2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PA7a, PA7b, PA7c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Publicação de livros e/ou capítulos de livros (0,5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PA8a, PA8b, PA8c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Outras atividades pertinentes (ex.: prêmios científicos) (0,2 pontos por trabalho)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PA9a, PA9b, PA9c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5 - ATIVIDADES DE EXTENSÃO (PESO 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557.0" w:type="dxa"/>
        <w:tblLayout w:type="fixed"/>
        <w:tblLook w:val="0600"/>
      </w:tblPr>
      <w:tblGrid>
        <w:gridCol w:w="4395"/>
        <w:gridCol w:w="1559"/>
        <w:gridCol w:w="1559"/>
        <w:gridCol w:w="1559"/>
        <w:tblGridChange w:id="0">
          <w:tblGrid>
            <w:gridCol w:w="4395"/>
            <w:gridCol w:w="1559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leader="none" w:pos="267"/>
              </w:tabs>
              <w:jc w:val="center"/>
              <w:rPr>
                <w:sz w:val="22"/>
                <w:szCs w:val="22"/>
                <w:shd w:fill="b4c7dc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Máxima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(s) documento(s) anexado(s)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left" w:leader="none" w:pos="267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congressos e simpósios de Extensão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AE1a, AE1b, AE1c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Minicurso (mínimo 12h), como aluno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AE2a, AE2b, AE2c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cursos com média duração (min. 40h)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AE3a, AE3b, AE3c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Palestrante/Monitor em eventos científicos e de extensão locais, minicursos.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AE4a, AE4b, AE4c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atividades de extensão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AE5a, AE5b, AE5c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comissão organizadora de eventos científicos/Extensão (Feiras de Ciências, congressos, etc.) (0,5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AE6a, AE6b, AE6c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Participação em projeto registrado de Extensão (0,2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AE7a, AE7b, AE7c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leader="none" w:pos="26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Monitoria em projeto registrado de Extensão (0,2 pontos por atividade)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AE8a, AE8b, AE8c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PROGRAMA DA PROVA DE CONHECIMENTO DA ÁREA</w:t>
      </w:r>
    </w:p>
    <w:p w:rsidR="00000000" w:rsidDel="00000000" w:rsidP="00000000" w:rsidRDefault="00000000" w:rsidRPr="00000000" w14:paraId="000000C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  <w:t xml:space="preserve">ALMEIDA, Mauro (2021). “Anarquismo ontológico e verdade no Antropoceno”. In: ALMEIDA, M. </w:t>
      </w:r>
      <w:r w:rsidDel="00000000" w:rsidR="00000000" w:rsidRPr="00000000">
        <w:rPr>
          <w:i w:val="1"/>
          <w:rtl w:val="0"/>
        </w:rPr>
        <w:t xml:space="preserve">Caipora e outros conflitos ontológicos</w:t>
      </w:r>
      <w:r w:rsidDel="00000000" w:rsidR="00000000" w:rsidRPr="00000000">
        <w:rPr>
          <w:rtl w:val="0"/>
        </w:rPr>
        <w:t xml:space="preserve">. São Paulo: Ubu. </w:t>
      </w:r>
    </w:p>
    <w:p w:rsidR="00000000" w:rsidDel="00000000" w:rsidP="00000000" w:rsidRDefault="00000000" w:rsidRPr="00000000" w14:paraId="000000CE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CARDOSO DE OLIVEIRA, Roberto (1996). “O trabalho do Antropólogo: olhar, ouvir, escrever”. </w:t>
      </w:r>
      <w:r w:rsidDel="00000000" w:rsidR="00000000" w:rsidRPr="00000000">
        <w:rPr>
          <w:i w:val="1"/>
          <w:color w:val="000000"/>
          <w:rtl w:val="0"/>
        </w:rPr>
        <w:t xml:space="preserve">Revista De Antropologia</w:t>
      </w:r>
      <w:r w:rsidDel="00000000" w:rsidR="00000000" w:rsidRPr="00000000">
        <w:rPr>
          <w:color w:val="000000"/>
          <w:rtl w:val="0"/>
        </w:rPr>
        <w:t xml:space="preserve">, 39(1), 13-37.</w:t>
      </w:r>
    </w:p>
    <w:p w:rsidR="00000000" w:rsidDel="00000000" w:rsidP="00000000" w:rsidRDefault="00000000" w:rsidRPr="00000000" w14:paraId="000000D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CARNEIRO DA CUNHA, Manuela (2009). </w:t>
      </w:r>
      <w:r w:rsidDel="00000000" w:rsidR="00000000" w:rsidRPr="00000000">
        <w:rPr>
          <w:i w:val="1"/>
          <w:color w:val="000000"/>
          <w:rtl w:val="0"/>
        </w:rPr>
        <w:t xml:space="preserve">Cultura com Aspas</w:t>
      </w:r>
      <w:r w:rsidDel="00000000" w:rsidR="00000000" w:rsidRPr="00000000">
        <w:rPr>
          <w:color w:val="000000"/>
          <w:rtl w:val="0"/>
        </w:rPr>
        <w:t xml:space="preserve">. Capítulo 19 – “ ‘Cultura’ e Cultura: conhecimentos tradicionais e direitos intelectuais”. São Paulo: Cosac Naify, 311-373.</w:t>
      </w:r>
    </w:p>
    <w:p w:rsidR="00000000" w:rsidDel="00000000" w:rsidP="00000000" w:rsidRDefault="00000000" w:rsidRPr="00000000" w14:paraId="000000D1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GONZALEZ, L. Racismo e Sexismo na cultura brasileira. In: Afro-Latino-Americano: Ensaios, Intervenções e Diálogos. Por um Feminismo afro-latino-americano. Rio de Janeiro: Zahar, 2020.</w:t>
      </w:r>
    </w:p>
    <w:p w:rsidR="00000000" w:rsidDel="00000000" w:rsidP="00000000" w:rsidRDefault="00000000" w:rsidRPr="00000000" w14:paraId="000000D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KOPENAWA, Davi &amp; ALBERT, Bruce. A queda do céu (p. 375 a 488) e “</w:t>
      </w:r>
      <w:r w:rsidDel="00000000" w:rsidR="00000000" w:rsidRPr="00000000">
        <w:rPr>
          <w:i w:val="1"/>
          <w:color w:val="000000"/>
          <w:rtl w:val="0"/>
        </w:rPr>
        <w:t xml:space="preserve">Postscriptum – </w:t>
      </w:r>
      <w:r w:rsidDel="00000000" w:rsidR="00000000" w:rsidRPr="00000000">
        <w:rPr>
          <w:color w:val="000000"/>
          <w:rtl w:val="0"/>
        </w:rPr>
        <w:t xml:space="preserve">Quando eu é um outro (e vice-versa) (p. 499 a 512). São Paulo: Companhia das Letras, 2015.</w:t>
      </w:r>
    </w:p>
    <w:p w:rsidR="00000000" w:rsidDel="00000000" w:rsidP="00000000" w:rsidRDefault="00000000" w:rsidRPr="00000000" w14:paraId="000000D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KUPER, Adam (2002). Cultura: </w:t>
      </w:r>
      <w:r w:rsidDel="00000000" w:rsidR="00000000" w:rsidRPr="00000000">
        <w:rPr>
          <w:i w:val="1"/>
          <w:color w:val="000000"/>
          <w:rtl w:val="0"/>
        </w:rPr>
        <w:t xml:space="preserve">A Visão dos Antropólogos</w:t>
      </w:r>
      <w:r w:rsidDel="00000000" w:rsidR="00000000" w:rsidRPr="00000000">
        <w:rPr>
          <w:color w:val="000000"/>
          <w:rtl w:val="0"/>
        </w:rPr>
        <w:t xml:space="preserve">. Capítulo 07 – “Cultura, Diferença, Identidade”.  Bauru, SP: EDUSC.</w:t>
      </w:r>
    </w:p>
    <w:p w:rsidR="00000000" w:rsidDel="00000000" w:rsidP="00000000" w:rsidRDefault="00000000" w:rsidRPr="00000000" w14:paraId="000000D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ORTNER, Sherry (2020). “A antropologia sombria e seus outros: Teoria desde os anos oitenta”. </w:t>
      </w:r>
      <w:r w:rsidDel="00000000" w:rsidR="00000000" w:rsidRPr="00000000">
        <w:rPr>
          <w:i w:val="1"/>
          <w:color w:val="000000"/>
          <w:rtl w:val="0"/>
        </w:rPr>
        <w:t xml:space="preserve">Sociabilidades Urbanas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i w:val="1"/>
          <w:color w:val="000000"/>
          <w:rtl w:val="0"/>
        </w:rPr>
        <w:t xml:space="preserve">Revista de Antropologia e Sociologia</w:t>
      </w:r>
      <w:r w:rsidDel="00000000" w:rsidR="00000000" w:rsidRPr="00000000">
        <w:rPr>
          <w:color w:val="000000"/>
          <w:rtl w:val="0"/>
        </w:rPr>
        <w:t xml:space="preserve">, 4(11), 27-50.</w:t>
      </w:r>
    </w:p>
    <w:p w:rsidR="00000000" w:rsidDel="00000000" w:rsidP="00000000" w:rsidRDefault="00000000" w:rsidRPr="00000000" w14:paraId="000000D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PEIRANO, Marisa (2014). "Etnografia não é método". </w:t>
      </w:r>
      <w:r w:rsidDel="00000000" w:rsidR="00000000" w:rsidRPr="00000000">
        <w:rPr>
          <w:i w:val="1"/>
          <w:color w:val="000000"/>
          <w:rtl w:val="0"/>
        </w:rPr>
        <w:t xml:space="preserve">Horizontes Antropológicos</w:t>
      </w:r>
      <w:r w:rsidDel="00000000" w:rsidR="00000000" w:rsidRPr="00000000">
        <w:rPr>
          <w:color w:val="000000"/>
          <w:rtl w:val="0"/>
        </w:rPr>
        <w:t xml:space="preserve"> 20(42): 377-391.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41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LINHAS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" w:right="0" w:hanging="1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Religião, sociedade e cultura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" w:right="0" w:hanging="1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Família, gênero e saúde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" w:right="0" w:hanging="1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Etnologia, etnicidade e processos identitários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" w:right="0" w:hanging="1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Imagens, patrimônio, museus e contemporaneidade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" w:right="0" w:hanging="1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Poder, desigualdade e educação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" w:right="0" w:hanging="1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V- REQUERIMENTO DE ISENÇÃO DA TAXA DE INSCRIÇÃO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o disposto no Art. 1o do Decreto no 6.593, de 2 de outubro de 2008, a isenção de taxa de inscrição é possibilitada para candidato(a) que esteja inscrito(a) no Cadastro Único para Programas Sociais do Governo Federal – CadÚnico – e que seja membro de família de baixa renda, nos termos do Decreto no 6.135, de 26 de junho de 2007.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210"/>
        <w:gridCol w:w="3210"/>
        <w:gridCol w:w="3210"/>
        <w:tblGridChange w:id="0">
          <w:tblGrid>
            <w:gridCol w:w="3210"/>
            <w:gridCol w:w="3210"/>
            <w:gridCol w:w="321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  <w:tab w:val="left" w:leader="none" w:pos="6740"/>
                <w:tab w:val="left" w:leader="none" w:pos="6760"/>
                <w:tab w:val="left" w:leader="none" w:pos="6780"/>
                <w:tab w:val="left" w:leader="none" w:pos="6800"/>
                <w:tab w:val="left" w:leader="none" w:pos="6820"/>
                <w:tab w:val="left" w:leader="none" w:pos="6840"/>
                <w:tab w:val="left" w:leader="none" w:pos="6860"/>
                <w:tab w:val="left" w:leader="none" w:pos="6880"/>
                <w:tab w:val="left" w:leader="none" w:pos="6900"/>
                <w:tab w:val="left" w:leader="none" w:pos="6920"/>
                <w:tab w:val="left" w:leader="none" w:pos="6940"/>
                <w:tab w:val="left" w:leader="none" w:pos="6960"/>
                <w:tab w:val="left" w:leader="none" w:pos="6980"/>
                <w:tab w:val="left" w:leader="none" w:pos="7000"/>
                <w:tab w:val="left" w:leader="none" w:pos="7020"/>
                <w:tab w:val="left" w:leader="none" w:pos="7040"/>
                <w:tab w:val="left" w:leader="none" w:pos="7060"/>
                <w:tab w:val="left" w:leader="none" w:pos="7080"/>
                <w:tab w:val="left" w:leader="none" w:pos="7100"/>
                <w:tab w:val="left" w:leader="none" w:pos="7120"/>
                <w:tab w:val="left" w:leader="none" w:pos="7140"/>
                <w:tab w:val="left" w:leader="none" w:pos="7160"/>
                <w:tab w:val="left" w:leader="none" w:pos="7180"/>
                <w:tab w:val="left" w:leader="none" w:pos="7200"/>
                <w:tab w:val="left" w:leader="none" w:pos="7220"/>
                <w:tab w:val="left" w:leader="none" w:pos="7240"/>
                <w:tab w:val="left" w:leader="none" w:pos="7260"/>
                <w:tab w:val="left" w:leader="none" w:pos="7280"/>
                <w:tab w:val="left" w:leader="none" w:pos="7300"/>
                <w:tab w:val="left" w:leader="none" w:pos="7320"/>
                <w:tab w:val="left" w:leader="none" w:pos="7340"/>
                <w:tab w:val="left" w:leader="none" w:pos="7360"/>
                <w:tab w:val="left" w:leader="none" w:pos="7380"/>
                <w:tab w:val="left" w:leader="none" w:pos="7400"/>
                <w:tab w:val="left" w:leader="none" w:pos="7420"/>
                <w:tab w:val="left" w:leader="none" w:pos="7440"/>
                <w:tab w:val="left" w:leader="none" w:pos="7460"/>
                <w:tab w:val="left" w:leader="none" w:pos="7480"/>
                <w:tab w:val="left" w:leader="none" w:pos="7500"/>
                <w:tab w:val="left" w:leader="none" w:pos="7520"/>
                <w:tab w:val="left" w:leader="none" w:pos="7540"/>
                <w:tab w:val="left" w:leader="none" w:pos="7560"/>
                <w:tab w:val="left" w:leader="none" w:pos="7580"/>
                <w:tab w:val="left" w:leader="none" w:pos="7600"/>
                <w:tab w:val="left" w:leader="none" w:pos="7620"/>
                <w:tab w:val="left" w:leader="none" w:pos="7640"/>
                <w:tab w:val="left" w:leader="none" w:pos="7660"/>
                <w:tab w:val="left" w:leader="none" w:pos="7680"/>
                <w:tab w:val="left" w:leader="none" w:pos="7700"/>
                <w:tab w:val="left" w:leader="none" w:pos="7720"/>
                <w:tab w:val="left" w:leader="none" w:pos="7740"/>
                <w:tab w:val="left" w:leader="none" w:pos="77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Social Completo: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/ … / 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 ( ) F ( )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 do Órgão Emissor: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/ … / …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NIS*: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  <w:tab w:val="left" w:leader="none" w:pos="6740"/>
                <w:tab w:val="left" w:leader="none" w:pos="6760"/>
                <w:tab w:val="left" w:leader="none" w:pos="6780"/>
                <w:tab w:val="left" w:leader="none" w:pos="6800"/>
                <w:tab w:val="left" w:leader="none" w:pos="6820"/>
                <w:tab w:val="left" w:leader="none" w:pos="6840"/>
                <w:tab w:val="left" w:leader="none" w:pos="6860"/>
                <w:tab w:val="left" w:leader="none" w:pos="6880"/>
                <w:tab w:val="left" w:leader="none" w:pos="6900"/>
                <w:tab w:val="left" w:leader="none" w:pos="6920"/>
                <w:tab w:val="left" w:leader="none" w:pos="6940"/>
                <w:tab w:val="left" w:leader="none" w:pos="6960"/>
                <w:tab w:val="left" w:leader="none" w:pos="6980"/>
                <w:tab w:val="left" w:leader="none" w:pos="7000"/>
                <w:tab w:val="left" w:leader="none" w:pos="7020"/>
                <w:tab w:val="left" w:leader="none" w:pos="7040"/>
                <w:tab w:val="left" w:leader="none" w:pos="7060"/>
                <w:tab w:val="left" w:leader="none" w:pos="7080"/>
                <w:tab w:val="left" w:leader="none" w:pos="7100"/>
                <w:tab w:val="left" w:leader="none" w:pos="7120"/>
                <w:tab w:val="left" w:leader="none" w:pos="7140"/>
                <w:tab w:val="left" w:leader="none" w:pos="7160"/>
                <w:tab w:val="left" w:leader="none" w:pos="7180"/>
                <w:tab w:val="left" w:leader="none" w:pos="7200"/>
                <w:tab w:val="left" w:leader="none" w:pos="7220"/>
                <w:tab w:val="left" w:leader="none" w:pos="7240"/>
                <w:tab w:val="left" w:leader="none" w:pos="7260"/>
                <w:tab w:val="left" w:leader="none" w:pos="7280"/>
                <w:tab w:val="left" w:leader="none" w:pos="7300"/>
                <w:tab w:val="left" w:leader="none" w:pos="7320"/>
                <w:tab w:val="left" w:leader="none" w:pos="7340"/>
                <w:tab w:val="left" w:leader="none" w:pos="7360"/>
                <w:tab w:val="left" w:leader="none" w:pos="7380"/>
                <w:tab w:val="left" w:leader="none" w:pos="7400"/>
                <w:tab w:val="left" w:leader="none" w:pos="7420"/>
                <w:tab w:val="left" w:leader="none" w:pos="7440"/>
                <w:tab w:val="left" w:leader="none" w:pos="7460"/>
                <w:tab w:val="left" w:leader="none" w:pos="7480"/>
                <w:tab w:val="left" w:leader="none" w:pos="7500"/>
                <w:tab w:val="left" w:leader="none" w:pos="7520"/>
                <w:tab w:val="left" w:leader="none" w:pos="7540"/>
                <w:tab w:val="left" w:leader="none" w:pos="7560"/>
                <w:tab w:val="left" w:leader="none" w:pos="7580"/>
                <w:tab w:val="left" w:leader="none" w:pos="7600"/>
                <w:tab w:val="left" w:leader="none" w:pos="7620"/>
                <w:tab w:val="left" w:leader="none" w:pos="7640"/>
                <w:tab w:val="left" w:leader="none" w:pos="7660"/>
                <w:tab w:val="left" w:leader="none" w:pos="7680"/>
                <w:tab w:val="left" w:leader="none" w:pos="7700"/>
                <w:tab w:val="left" w:leader="none" w:pos="7720"/>
                <w:tab w:val="left" w:leader="none" w:pos="7740"/>
                <w:tab w:val="left" w:leader="none" w:pos="77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NIS – Número de Identificação Social (Cadastro Único).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ser anexada a este requerimento cópia legível do cartão e extrato de pagamentos de benefícios socioassistenciais federais, estaduais ou municipais (Exemplo: Bolsa Família).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Solicito a isenção da taxa de inscrição no referido Processo Seletivo e declaro que sou membro de família de baixa renda, nos termos do Decreto no 6.135/2007. Declaro também, sob as penas da Lei, a veracidade das informações aqui prestadas e que estou ciente e de acordo com todas as exigências especificadas neste Edital, notadamente aquelas que versam acerca das condições de isenção da taxa de inscrição.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              de                      de 2024.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134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6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62" w:hanging="262.000000000000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26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62" w:hanging="262.000000000000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9"/>
        <w:szCs w:val="29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19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736" w:hanging="196.000000000000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93" w:hanging="39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)"/>
      <w:lvlJc w:val="left"/>
      <w:pPr>
        <w:ind w:left="75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)"/>
      <w:lvlJc w:val="left"/>
      <w:pPr>
        <w:ind w:left="111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)"/>
      <w:lvlJc w:val="left"/>
      <w:pPr>
        <w:ind w:left="1473" w:hanging="392.999999999999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)"/>
      <w:lvlJc w:val="left"/>
      <w:pPr>
        <w:ind w:left="183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)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)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)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)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54E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sz w:val="24"/>
      <w:szCs w:val="24"/>
      <w:bdr w:color="auto" w:space="0" w:sz="0" w:val="none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character" w:styleId="Aucun" w:customStyle="1">
    <w:name w:val="Aucun"/>
    <w:rPr>
      <w:lang w:val="de-DE"/>
    </w:rPr>
  </w:style>
  <w:style w:type="numbering" w:styleId="Lettres" w:customStyle="1">
    <w:name w:val="Lettres"/>
    <w:pPr>
      <w:numPr>
        <w:numId w:val="1"/>
      </w:numPr>
    </w:pPr>
  </w:style>
  <w:style w:type="character" w:styleId="AucunA" w:customStyle="1">
    <w:name w:val="Aucun A"/>
    <w:basedOn w:val="Aucun"/>
    <w:rPr>
      <w:lang w:val="de-DE"/>
    </w:rPr>
  </w:style>
  <w:style w:type="numbering" w:styleId="Style1import" w:customStyle="1">
    <w:name w:val="Style 1 importé"/>
    <w:pPr>
      <w:numPr>
        <w:numId w:val="3"/>
      </w:numPr>
    </w:p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numbering" w:styleId="Style1import0" w:customStyle="1">
    <w:name w:val="Style 1 importé.0"/>
    <w:pPr>
      <w:numPr>
        <w:numId w:val="6"/>
      </w:numPr>
    </w:pPr>
  </w:style>
  <w:style w:type="paragraph" w:styleId="Pardfaut" w:customStyle="1">
    <w:name w:val="Par défaut"/>
    <w:pPr>
      <w:spacing w:before="160"/>
    </w:pPr>
    <w:rPr>
      <w:rFonts w:ascii="Helvetica Neue" w:cs="Arial Unicode MS" w:hAnsi="Helvetica Neue"/>
      <w:color w:val="000000"/>
      <w:sz w:val="24"/>
      <w:szCs w:val="24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Aucun"/>
    <w:rPr>
      <w:rFonts w:ascii="Times New Roman" w:cs="Times New Roman" w:eastAsia="Times New Roman" w:hAnsi="Times New Roman"/>
      <w:outline w:val="0"/>
      <w:color w:val="0000ff"/>
      <w:sz w:val="24"/>
      <w:szCs w:val="24"/>
      <w:u w:color="0000ff" w:val="single"/>
      <w:lang w:val="fr-FR"/>
    </w:rPr>
  </w:style>
  <w:style w:type="numbering" w:styleId="Nombres" w:customStyle="1">
    <w:name w:val="Nombres"/>
    <w:pPr>
      <w:numPr>
        <w:numId w:val="9"/>
      </w:numPr>
    </w:pPr>
  </w:style>
  <w:style w:type="numbering" w:styleId="Puce" w:customStyle="1">
    <w:name w:val="Puce"/>
    <w:pPr>
      <w:numPr>
        <w:numId w:val="11"/>
      </w:numPr>
    </w:pPr>
  </w:style>
  <w:style w:type="character" w:styleId="Hyperlink1" w:customStyle="1">
    <w:name w:val="Hyperlink.1"/>
    <w:basedOn w:val="Aucun"/>
    <w:rPr>
      <w:rFonts w:ascii="Times New Roman" w:cs="Times New Roman" w:eastAsia="Times New Roman" w:hAnsi="Times New Roman"/>
      <w:outline w:val="0"/>
      <w:color w:val="000000"/>
      <w:u w:color="000000" w:val="single"/>
      <w:lang w:val="en-US"/>
    </w:rPr>
  </w:style>
  <w:style w:type="numbering" w:styleId="Lettres0" w:customStyle="1">
    <w:name w:val="Lettres.0"/>
    <w:pPr>
      <w:numPr>
        <w:numId w:val="13"/>
      </w:numPr>
    </w:pPr>
  </w:style>
  <w:style w:type="numbering" w:styleId="Tiret" w:customStyle="1">
    <w:name w:val="Tiret"/>
    <w:pPr>
      <w:numPr>
        <w:numId w:val="15"/>
      </w:numPr>
    </w:pPr>
  </w:style>
  <w:style w:type="numbering" w:styleId="Tiret0" w:customStyle="1">
    <w:name w:val="Tiret.0"/>
    <w:pPr>
      <w:numPr>
        <w:numId w:val="17"/>
      </w:numPr>
    </w:pPr>
  </w:style>
  <w:style w:type="numbering" w:styleId="Style2import" w:customStyle="1">
    <w:name w:val="Style 2 importé"/>
    <w:pPr>
      <w:numPr>
        <w:numId w:val="22"/>
      </w:numPr>
    </w:pPr>
  </w:style>
  <w:style w:type="paragraph" w:styleId="Styledetableau2" w:customStyle="1">
    <w:name w:val="Style de tableau 2"/>
    <w:rPr>
      <w:rFonts w:ascii="Helvetica Neue" w:cs="Arial Unicode MS" w:hAnsi="Helvetica Neue"/>
      <w:color w:val="000000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 w:val="1"/>
    <w:rsid w:val="00C40235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C402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  <w:contextualSpacing w:val="1"/>
    </w:pPr>
    <w:rPr>
      <w:rFonts w:eastAsia="Arial Unicode MS"/>
      <w:bdr w:space="0" w:sz="0" w:val="nil"/>
      <w:lang w:val="en-US"/>
    </w:rPr>
  </w:style>
  <w:style w:type="character" w:styleId="im" w:customStyle="1">
    <w:name w:val="im"/>
    <w:basedOn w:val="Fontepargpadro"/>
    <w:rsid w:val="006E66C3"/>
  </w:style>
  <w:style w:type="character" w:styleId="MenoPendente">
    <w:name w:val="Unresolved Mention"/>
    <w:basedOn w:val="Fontepargpadro"/>
    <w:uiPriority w:val="99"/>
    <w:semiHidden w:val="1"/>
    <w:unhideWhenUsed w:val="1"/>
    <w:rsid w:val="0076210E"/>
    <w:rPr>
      <w:color w:val="605e5c"/>
      <w:shd w:color="auto" w:fill="e1dfdd" w:val="clear"/>
    </w:rPr>
  </w:style>
  <w:style w:type="character" w:styleId="gi" w:customStyle="1">
    <w:name w:val="gi"/>
    <w:basedOn w:val="Fontepargpadro"/>
    <w:rsid w:val="00865AAF"/>
  </w:style>
  <w:style w:type="character" w:styleId="Refdecomentrio">
    <w:name w:val="annotation reference"/>
    <w:basedOn w:val="Fontepargpadro"/>
    <w:uiPriority w:val="99"/>
    <w:semiHidden w:val="1"/>
    <w:unhideWhenUsed w:val="1"/>
    <w:rsid w:val="003F74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F749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sz w:val="20"/>
      <w:szCs w:val="20"/>
      <w:bdr w:space="0" w:sz="0" w:val="nil"/>
      <w:lang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F749B"/>
    <w:rPr>
      <w:lang w:eastAsia="en-US" w:val="en-US"/>
    </w:rPr>
  </w:style>
  <w:style w:type="paragraph" w:styleId="LO-normal" w:customStyle="1">
    <w:name w:val="LO-normal"/>
    <w:qFormat w:val="1"/>
    <w:rsid w:val="00347BDB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</w:pPr>
    <w:rPr>
      <w:rFonts w:cs="Lucida Sans" w:eastAsia="NSimSun"/>
      <w:sz w:val="22"/>
      <w:szCs w:val="22"/>
      <w:bdr w:color="auto" w:space="0" w:sz="0" w:val="none"/>
      <w:lang w:bidi="hi-IN" w:eastAsia="zh-CN"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47BD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b w:val="1"/>
      <w:bCs w:val="1"/>
      <w:bdr w:color="auto" w:space="0" w:sz="0" w:val="none"/>
      <w:lang w:val="fr-F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47BDB"/>
    <w:rPr>
      <w:rFonts w:eastAsia="Times New Roman"/>
      <w:b w:val="1"/>
      <w:bCs w:val="1"/>
      <w:bdr w:color="auto" w:space="0" w:sz="0"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d2eWh1Ha6Umu0U+mppEHIiEFw==">CgMxLjA4AHIhMU9EUWpNalVfNTZCZWVuWVRTckt6NlRxSV9DZjNyZDhW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2024-08-29T23:02:00Z</dcterms:created>
  <dc:creator>Ana Claudia</dc:creator>
</cp:coreProperties>
</file>