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Consulta para representação dos Servidores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Técnico-administrativos em Educação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TAE, do CAV,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junto ao Conselho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Universitário,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 acordo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inciso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 do artigo 10 do Estatuto da UFPE.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do(a) Candidato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0"/>
        <w:gridCol w:w="105"/>
        <w:gridCol w:w="1260"/>
        <w:gridCol w:w="105"/>
        <w:gridCol w:w="2445"/>
        <w:gridCol w:w="755"/>
        <w:gridCol w:w="1740"/>
        <w:gridCol w:w="1950"/>
        <w:tblGridChange w:id="0">
          <w:tblGrid>
            <w:gridCol w:w="990"/>
            <w:gridCol w:w="105"/>
            <w:gridCol w:w="1260"/>
            <w:gridCol w:w="105"/>
            <w:gridCol w:w="2445"/>
            <w:gridCol w:w="755"/>
            <w:gridCol w:w="1740"/>
            <w:gridCol w:w="1950"/>
          </w:tblGrid>
        </w:tblGridChange>
      </w:tblGrid>
      <w:tr>
        <w:trPr>
          <w:trHeight w:val="2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 SIAPE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admissão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2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de Lotação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Fone de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Vitória de Santo Antão,      de           de 2021.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que as informações acima são verdadeiras e que estão em conformidade com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6º e 7º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da Instrução Normativa do CAV - 01/2021.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1)Deve ser registrado 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institucional, Id-UFPE com terminação @ufpe.br;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2) Após assinatura, o(a) candidato(a) 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encaminhar o formulário para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eleicoes.cav@ufpe.br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6.37795275590747" w:top="1275.5905511811022" w:left="1701" w:right="1134" w:header="765" w:footer="765"/>
      <w:pgNumType w:start="1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center" w:pos="1615"/>
        <w:tab w:val="right" w:pos="1845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76250" cy="733045"/>
          <wp:effectExtent b="0" l="0" r="0" t="0"/>
          <wp:docPr id="10737418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733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PERNAMBUCO</w:t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CENTRO ACADÊMICO DA VITÓRIA</w: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Comissão Eleitoral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0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character" w:styleId="Número de página">
    <w:name w:val="Número de págin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color="0563c1" w:val="single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eastAsia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+6xSUT49uAAvgew3dPkAg2eoA==">AMUW2mVUsXYcRHA2g7cnPNddnAMZ9YY3kgQGq8LeYC+akIDtBQbrDbAnrMV04EC0z3/cdt+4KtoTfXkH1tcdIqoQaT1fPpGnKkD3/fn/UXMfFzxPt7MjfDI=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