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eastAsia="Times New Roman" w:cs="Times New Roman" w:ascii="Times New Roman" w:hAnsi="Times New Roman"/>
          <w:b/>
          <w:bCs/>
          <w:spacing w:val="-13"/>
          <w:sz w:val="24"/>
          <w:szCs w:val="24"/>
        </w:rPr>
      </w:pPr>
      <w:r>
        <w:rPr>
          <w:rFonts w:eastAsia="Times New Roman" w:cs="Times New Roman" w:ascii="Times New Roman" w:hAnsi="Times New Roman"/>
          <w:b/>
          <w:bCs/>
          <w:spacing w:val="-13"/>
          <w:sz w:val="24"/>
          <w:szCs w:val="24"/>
        </w:rPr>
      </w:r>
    </w:p>
    <w:p>
      <w:pPr>
        <w:pStyle w:val="Normal"/>
        <w:spacing w:lineRule="auto" w:line="240" w:before="0" w:after="0"/>
        <w:jc w:val="center"/>
        <w:rPr>
          <w:rFonts w:eastAsia="Times New Roman" w:cs="Times New Roman" w:ascii="Times New Roman" w:hAnsi="Times New Roman"/>
          <w:b/>
          <w:bCs/>
          <w:spacing w:val="-13"/>
          <w:sz w:val="28"/>
          <w:szCs w:val="28"/>
        </w:rPr>
      </w:pPr>
      <w:r>
        <w:rPr>
          <w:rFonts w:eastAsia="Times New Roman" w:cs="Times New Roman" w:ascii="Times New Roman" w:hAnsi="Times New Roman"/>
          <w:b/>
          <w:bCs/>
          <w:spacing w:val="-13"/>
          <w:sz w:val="28"/>
          <w:szCs w:val="28"/>
        </w:rPr>
      </w:r>
    </w:p>
    <w:p>
      <w:pPr>
        <w:pStyle w:val="Normal"/>
        <w:spacing w:lineRule="auto" w:line="240" w:before="0" w:after="0"/>
        <w:jc w:val="center"/>
        <w:rPr>
          <w:rFonts w:eastAsia="Times New Roman" w:cs="Times New Roman" w:ascii="Times New Roman" w:hAnsi="Times New Roman"/>
          <w:b/>
          <w:bCs/>
          <w:spacing w:val="-13"/>
          <w:sz w:val="28"/>
          <w:szCs w:val="28"/>
        </w:rPr>
      </w:pPr>
      <w:r>
        <w:rPr>
          <w:rFonts w:eastAsia="Times New Roman" w:cs="Times New Roman" w:ascii="Times New Roman" w:hAnsi="Times New Roman"/>
          <w:b/>
          <w:bCs/>
          <w:spacing w:val="-13"/>
          <w:sz w:val="28"/>
          <w:szCs w:val="28"/>
        </w:rPr>
        <w:t>MODELO DE REGULAMENTO</w:t>
      </w:r>
    </w:p>
    <w:p>
      <w:pPr>
        <w:pStyle w:val="Normal"/>
        <w:spacing w:lineRule="auto" w:line="240" w:before="0" w:after="0"/>
        <w:jc w:val="center"/>
        <w:rPr>
          <w:rFonts w:eastAsia="Times New Roman" w:cs="Times New Roman" w:ascii="Times New Roman" w:hAnsi="Times New Roman"/>
          <w:b/>
          <w:bCs/>
          <w:spacing w:val="-13"/>
          <w:sz w:val="24"/>
          <w:szCs w:val="24"/>
        </w:rPr>
      </w:pPr>
      <w:r>
        <w:rPr>
          <w:rFonts w:eastAsia="Times New Roman" w:cs="Times New Roman" w:ascii="Times New Roman" w:hAnsi="Times New Roman"/>
          <w:b/>
          <w:bCs/>
          <w:spacing w:val="-13"/>
          <w:sz w:val="24"/>
          <w:szCs w:val="24"/>
        </w:rPr>
      </w:r>
    </w:p>
    <w:p>
      <w:pPr>
        <w:pStyle w:val="Normal"/>
        <w:spacing w:lineRule="auto" w:line="240" w:before="0" w:after="0"/>
        <w:jc w:val="center"/>
        <w:rPr>
          <w:rFonts w:eastAsia="Times New Roman" w:cs="Times New Roman" w:ascii="Times New Roman" w:hAnsi="Times New Roman"/>
          <w:b/>
          <w:bCs/>
          <w:spacing w:val="-13"/>
          <w:sz w:val="24"/>
          <w:szCs w:val="24"/>
        </w:rPr>
      </w:pPr>
      <w:r>
        <w:rPr>
          <w:rFonts w:eastAsia="Times New Roman" w:cs="Times New Roman" w:ascii="Times New Roman" w:hAnsi="Times New Roman"/>
          <w:b/>
          <w:bCs/>
          <w:spacing w:val="-13"/>
          <w:sz w:val="24"/>
          <w:szCs w:val="24"/>
        </w:rPr>
      </w:r>
    </w:p>
    <w:p>
      <w:pPr>
        <w:pStyle w:val="Normal"/>
        <w:spacing w:lineRule="auto" w:line="240" w:before="0" w:after="0"/>
        <w:jc w:val="center"/>
        <w:rPr>
          <w:rFonts w:eastAsia="Times New Roman" w:cs="Times New Roman" w:ascii="Times New Roman" w:hAnsi="Times New Roman"/>
          <w:b/>
          <w:bCs/>
          <w:spacing w:val="-13"/>
          <w:sz w:val="24"/>
          <w:szCs w:val="24"/>
        </w:rPr>
      </w:pPr>
      <w:r>
        <w:rPr>
          <w:rFonts w:eastAsia="Times New Roman" w:cs="Times New Roman" w:ascii="Times New Roman" w:hAnsi="Times New Roman"/>
          <w:b/>
          <w:bCs/>
          <w:spacing w:val="-13"/>
          <w:sz w:val="24"/>
          <w:szCs w:val="24"/>
        </w:rPr>
      </w:r>
    </w:p>
    <w:p>
      <w:pPr>
        <w:pStyle w:val="Normal"/>
        <w:spacing w:lineRule="auto" w:line="240" w:before="0" w:after="0"/>
        <w:jc w:val="center"/>
        <w:rPr>
          <w:rFonts w:eastAsia="Times New Roman" w:cs="Times New Roman" w:ascii="Times New Roman" w:hAnsi="Times New Roman"/>
          <w:b/>
          <w:sz w:val="24"/>
          <w:szCs w:val="24"/>
        </w:rPr>
      </w:pPr>
      <w:r>
        <w:rPr>
          <w:rFonts w:eastAsia="Times New Roman" w:cs="Times New Roman" w:ascii="Times New Roman" w:hAnsi="Times New Roman"/>
          <w:b/>
          <w:bCs/>
          <w:spacing w:val="-13"/>
          <w:sz w:val="24"/>
          <w:szCs w:val="24"/>
        </w:rPr>
        <w:t xml:space="preserve">REGULAMENTO LABORATÓRIO DE QUIMICA DO </w:t>
      </w:r>
      <w:r>
        <w:rPr>
          <w:rFonts w:eastAsia="Times New Roman" w:cs="Times New Roman" w:ascii="Times New Roman" w:hAnsi="Times New Roman"/>
          <w:b/>
          <w:sz w:val="24"/>
          <w:szCs w:val="24"/>
        </w:rPr>
        <w:t>NÚCLEO DE TECNOLOGIA</w:t>
      </w:r>
    </w:p>
    <w:p>
      <w:pPr>
        <w:pStyle w:val="Normal"/>
        <w:spacing w:lineRule="auto" w:line="24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Este regulamento visa normatizar o uso e otimizar a infraestrutura do Complexo de Laboratórios de Química do Núcleo de Tecnologia, buscando atender de forma adequadas as necessidades de seus usuários.</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I - Da Localização</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 Laboratório de Química (LQ) do Núcleo de Tecnologia (NT) está localizado no andar térreo do Bloco A do prédio do Centro Acadêmico do Agreste.</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II - Do Horário de Funcionamento</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Os Laboratórios de Química do Núcleo de Tecnologia funcionam de segunda-feira a sexta-feira, das 08h00min às 22h00min. Os horários poderão ser alterados, a bem da comunidade, por ato da coordenação do LQ.</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III - Dos Usuários</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O Laboratório de Química, do Núcleo de Tecnologia, o LQ, é um complexo laboratorial acadêmico multiusuário, constituído de 02 laboratórios de ensino e 01 de pesquisa que visa atender as demandas de ensino, pesquisa e extensão do Núcleo de Tecnologia. Apesar de pertencer exclusivamente ao Núcleo de Tecnologia, enquadra-se como usuário do LQ todo e qualquer integrante do corpo docente, discente (regularmente matriculado) e funcional nos cursos das Engenharias de Produção e Civil, como também do Curso de Licenciatura em Química do Centro Acadêmico do Agreste. A interrupção de vínculo com os referidos cursos acarreta a consequente e imediata perda do direito de utilização do LQ. No entanto, ele pode ser utilizado por docentes de outros Núcleos, caso seja necessário desde que não coincida com as atividades já em desenvolvimento no LQ e que seja autorizado pelo Coordenador do laboratório. </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IV - Da Utilização</w:t>
      </w:r>
    </w:p>
    <w:p>
      <w:pPr>
        <w:pStyle w:val="NormalWeb"/>
        <w:jc w:val="both"/>
        <w:rPr/>
      </w:pPr>
      <w:r>
        <w:rPr/>
        <w:t xml:space="preserve">O LQ deve ser utilizado para atividades acadêmicas ligadas ao ensino, pesquisa e extensão. É vedada a sua utilização para fins não relacionados à atividade acadêmica. Os usuários que incorrerem em tal situação estão sujeitos a sansões e penalizações previstas no item X. Entretanto, o LQ poderá ser utilizado para realizar análises de prestação de serviço, desde que devidamente oficializadas e autorizadas pela Coordenação. </w:t>
      </w:r>
    </w:p>
    <w:p>
      <w:pPr>
        <w:pStyle w:val="NormalWeb"/>
        <w:jc w:val="both"/>
        <w:rPr/>
      </w:pPr>
      <w:r>
        <w:rPr/>
        <w:t xml:space="preserve">O usuário é responsável, durante a sua utilização, pelos recursos disponíveis no LQ. Qualquer anormalidade ocorrida durante a utilização da infraestrutura laboratorial deve ser informada à Coordenação do LQ, composta pelo Coordenador e técnicos do LQ. Os professores usuários do LQ devem orientar os seus alunos quanto a correta utilização dos equipamentos e exigir dos mesmos que deixem o ambiente limpo, organizado e com todos os equipamentos devidamente desligados quando couber, após o término das atividades realizadas. Em caso de dúvidas sobre a utilização de equipamentos, consultar os técnicos do laboratório e jamais utilizar um equipamento caso não esteja capacitado para tal. </w:t>
      </w:r>
    </w:p>
    <w:p>
      <w:pPr>
        <w:pStyle w:val="NormalWeb"/>
        <w:jc w:val="both"/>
        <w:rPr/>
      </w:pPr>
      <w:r>
        <w:rPr/>
        <w:t>Quando utilizado para aulas práticas ou atividades de extensão, o professor responsável pela atividade deverá assinar o livro de ocorrências para registrar a utilização do laboratório e informar possíveis quebras de vidrarias ou outros equipamentos ou acidentes.</w:t>
      </w:r>
    </w:p>
    <w:p>
      <w:pPr>
        <w:pStyle w:val="NormalWeb"/>
        <w:jc w:val="both"/>
        <w:rPr/>
      </w:pPr>
      <w:r>
        <w:rPr/>
        <w:t>Pedidos de realização de pesquisas ou atividades extensionistas só podem ser feitos exclusivamente por professores ou pesquisadores vinculados às disciplinas e projetos de pesquisa ou extensão. As solicitações deverão ser encaminhadas à coordenação do LQ com antecedência mínima de 30 dias.</w:t>
      </w:r>
    </w:p>
    <w:p>
      <w:pPr>
        <w:pStyle w:val="NormalWeb"/>
        <w:jc w:val="both"/>
        <w:rPr/>
      </w:pPr>
      <w:r>
        <w:rPr/>
        <w:t>Casos de empréstimo ou cessão de reagentes, equipamentos ou outros materiais só devem acontecer por solicitação, análise e autorização da Coordenação. Se autorizado, o empréstimo ou cessão deverá ser registrado em livro de protocolo e correspondência.</w:t>
      </w:r>
    </w:p>
    <w:p>
      <w:pPr>
        <w:pStyle w:val="NormalWeb"/>
        <w:jc w:val="both"/>
        <w:rPr/>
      </w:pPr>
      <w:r>
        <w:rPr/>
        <w:t>Os resíduos químicos gerados durante os experimentos didáticos, assim como os resíduos gerados nas pesquisas ou atividades de extensão, são de responsabilidade do professor e/ou pesquisador que deve ter um planejamento de manejo em concordância com as boas práticas de utilização do laboratório de química, podendo contar com o apoio dos químicos do LQ para encontrar a melhor forma de manejo.</w:t>
      </w:r>
    </w:p>
    <w:p>
      <w:pPr>
        <w:pStyle w:val="NormalWeb"/>
        <w:jc w:val="both"/>
        <w:rPr/>
      </w:pPr>
      <w:r>
        <w:rPr/>
        <w:t>Qualquer dano ou perda de funcionalidade de equipamentos deve ser informado à Coordenação do LQ.</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V - Das Reservas</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Nos horários reservados para a utilização do LQ por parte do corpo docente, para aulas curriculares ou esporádicas, é vedada a utilização concomitante da mesma sala por outros usuários. Os professores que desejarem utilizar o Laboratório de Química para atividades acadêmicas devem efetuar reservas, com antecedência mínima de 07 dias úteis, oficialmente em meio impresso ou e-mail. A reserva será confirmada mediante a disponibilidade do laboratório. </w:t>
      </w:r>
      <w:r>
        <w:rPr>
          <w:rFonts w:cs="Times New Roman" w:ascii="Times New Roman" w:hAnsi="Times New Roman"/>
          <w:sz w:val="24"/>
          <w:szCs w:val="24"/>
        </w:rPr>
        <w:t xml:space="preserve">A reserva para utilização do Laboratório será feita somente por servidores (professores ou técnicos) junto à Coordenação do LQ. Em caso de desistência na utilização, o usuário deve notificar com antecedência mínima de 01 dia útil. Se o professor não tiver notificado com antecedência, deve então justificar a Coordenação do LQ. </w:t>
      </w:r>
      <w:r>
        <w:rPr>
          <w:rFonts w:eastAsia="Times New Roman" w:cs="Times New Roman" w:ascii="Times New Roman" w:hAnsi="Times New Roman"/>
          <w:sz w:val="24"/>
          <w:szCs w:val="24"/>
        </w:rPr>
        <w:t>Os usuários que incorrerem em tal situação estão sujeitos a sansões e penalizações previstas no item X.</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VI - Dos Deveres</w:t>
      </w:r>
    </w:p>
    <w:p>
      <w:pPr>
        <w:pStyle w:val="Normal"/>
        <w:shd w:fill="FFFFFF" w:val="clear"/>
        <w:spacing w:lineRule="atLeast" w:line="200" w:before="0" w:after="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É dever de todo usuário do LQ zelar pelas instalações, equipamentos, vidrarias e reagentes e respeitar o corpo de funcionários do Laboratório, acatando suas recomendações e orientações. </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VII - Das Proibições</w:t>
      </w:r>
    </w:p>
    <w:p>
      <w:pPr>
        <w:pStyle w:val="Normal"/>
        <w:shd w:fill="FFFFFF" w:val="clear"/>
        <w:spacing w:lineRule="atLeast" w:line="200" w:before="0" w:after="1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Fica expressamente proibido no âmbito do LQ:</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Usar vocabulário de baixo calão/ofensivo;</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Utilizar o espaço do laboratório para propaganda político/partidária;</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Comer, beber ou portar alimentos;</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Fumar ou conduzir cigarros e assemelhados acesos;</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Perturbar o ambiente com brincadeiras e algazarras;</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Praticar atividades que afetem ou coloquem em risco as instalações do laboratório;</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Praticar atividades que promovam o desperdício de recursos de energia e materiais; </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Permanecer nas salas administrativas do Laboratório, salvo quando solicitado ou necessário;</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Utilizar as dependências do laboratório sem autorização prévia da coordenação ou dos professores;</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Utilizar as bancadas para fins que não sejam relacionados à experimentação em química;</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 instalação ou desinstalação de softwares em computadores; tais atividades apenas podem ser realizadas pela ou com a autorização da Coordenação do LQ;</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Utilizar os computadores dos equipamentos para acessar páginas de internet que não estejam diretamente relacionadas ao uso do equipamento.</w:t>
      </w:r>
    </w:p>
    <w:p>
      <w:pPr>
        <w:pStyle w:val="ListParagraph"/>
        <w:numPr>
          <w:ilvl w:val="0"/>
          <w:numId w:val="1"/>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Utilizar os computadores de pesquisa para fins alheios à mesma. </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VIII - Da Segurança do Laboratório e boas práticas</w:t>
      </w:r>
    </w:p>
    <w:p>
      <w:pPr>
        <w:pStyle w:val="Normal"/>
        <w:shd w:fill="FFFFFF" w:val="clear"/>
        <w:spacing w:lineRule="atLeast" w:line="200" w:beforeAutospacing="1" w:afterAutospacing="1"/>
        <w:jc w:val="both"/>
        <w:rPr>
          <w:rFonts w:ascii="Times New Roman" w:hAnsi="Times New Roman"/>
          <w:sz w:val="24"/>
          <w:szCs w:val="24"/>
        </w:rPr>
      </w:pPr>
      <w:r>
        <w:rPr>
          <w:rFonts w:ascii="Times New Roman" w:hAnsi="Times New Roman"/>
          <w:sz w:val="24"/>
          <w:szCs w:val="24"/>
        </w:rPr>
        <w:t>Buscando diminuir a frequência e a gravidade de eventos adversos, incidentes e acidentes, torna-se absolutamente imprescindível que durante os trabalhos realizados em laboratório seja observado as seguintes normas de segurança:</w:t>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O usuário deve seguir as instruções específicas do professor ou dos técnicos do laboratório. Ao efetuar as experiências, siga rigorosamente seus roteiros, lendo-os com bastante atenção, identificando o material que será utilizado;</w:t>
      </w:r>
    </w:p>
    <w:p>
      <w:pPr>
        <w:pStyle w:val="ListParagraph"/>
        <w:spacing w:lineRule="auto" w:line="240" w:before="0" w:after="0"/>
        <w:ind w:left="502" w:right="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O usuário rotineiro do LQ como alunos de iniciação, mestrado, ou demais bolsistas de pesquisa do laboratório devem procurar os técnicos do Laboratório ANTES de iniciar seus experimentos para receber as devidas orientações sobre as boas práticas de utilização do LQ; </w:t>
      </w:r>
    </w:p>
    <w:p>
      <w:pPr>
        <w:pStyle w:val="ListParagrap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O usuário rotineiro do LQ deverá sempre recorrer ao corpo técnico do LQ para sanar dúvidas de procedimento como também atender as orientações fornecidas durante a vigência dos trabalhos neste laboratório;</w:t>
      </w:r>
    </w:p>
    <w:p>
      <w:pPr>
        <w:pStyle w:val="ListParagraph"/>
        <w:spacing w:lineRule="auto" w:line="240" w:before="0" w:after="0"/>
        <w:ind w:left="502" w:right="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Usuários eventuais do LQ, como alunos de iniciação, mestrado, ou demais bolsistas de pesquisa de outros laboratórios poderão ter acesso à infraestrutura deste laboratório, mediante autorização da Coordenação; </w:t>
      </w:r>
    </w:p>
    <w:p>
      <w:pPr>
        <w:pStyle w:val="ListParagraph"/>
        <w:rPr>
          <w:rFonts w:ascii="Times New Roman" w:hAnsi="Times New Roman"/>
          <w:sz w:val="24"/>
          <w:szCs w:val="24"/>
        </w:rPr>
      </w:pPr>
      <w:r>
        <w:rPr>
          <w:rFonts w:ascii="Times New Roman" w:hAnsi="Times New Roman"/>
          <w:sz w:val="24"/>
          <w:szCs w:val="24"/>
        </w:rPr>
      </w:r>
    </w:p>
    <w:p>
      <w:pPr>
        <w:pStyle w:val="ListParagraph"/>
        <w:spacing w:lineRule="auto" w:line="240" w:before="0" w:after="0"/>
        <w:ind w:left="502" w:right="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Os usuários eventuais do LQ devem sempre que entrar no Laboratório se identificar junto aos técnicos e informar que atividades pretendem realizar, assim como os equipamentos necessários e a duração do experimento. </w:t>
      </w:r>
    </w:p>
    <w:p>
      <w:pPr>
        <w:pStyle w:val="ListParagraph"/>
        <w:spacing w:lineRule="auto" w:line="240" w:before="0" w:after="0"/>
        <w:ind w:left="502" w:right="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Os usuários eventuais do LQ terão as mesmas responsabilidades que os usuários rotineiros, devendo também procurar o corpo técnico para receber as orientações de utilização do LQ ANTES de iniciar seus experimentos e durante todos os trabalhos realizados no laboratório;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O usuário eventual e o rotineiro do LQ deverão obrigatoriamente permanecer no laboratório (salvo caso específico a ser autorizado) até o final do experimento;</w:t>
      </w:r>
    </w:p>
    <w:p>
      <w:pPr>
        <w:pStyle w:val="ListParagrap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O usuário eventual deverá proceder ao registro da atividade realizada em livro de ocorrência, que estará disponível junto ao corpo técnico do LQ;</w:t>
      </w:r>
    </w:p>
    <w:p>
      <w:pPr>
        <w:pStyle w:val="ListParagrap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Ao entrar no laboratório, atente para a sinalização e normas de segurança constantes no LQ;</w:t>
      </w:r>
    </w:p>
    <w:p>
      <w:pPr>
        <w:pStyle w:val="ListParagrap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O Almoxarifado é área de circulação restrita aos técnicos do LQ, e o acesso ao mesmo só poderá ocorrer com supervisão do corpo técnico.</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Acidentes de qualquer natureza devem ser comunicados imediatamente ao professor e/ou técnico do laboratório;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Esteja ciente da localização dos EPCs (Equipamentos de Proteção Coletiva), como: chuveiros, lava-olhos, capelas, saída de emergência e outros; Caso não saiba como manuseá-los, pedir orientação ao professor ou técnico do laboratório;</w:t>
      </w:r>
    </w:p>
    <w:p>
      <w:pPr>
        <w:pStyle w:val="ListParagrap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Durante as aulas práticas </w:t>
      </w:r>
      <w:r>
        <w:rPr>
          <w:rFonts w:ascii="Times New Roman" w:hAnsi="Times New Roman"/>
          <w:b/>
          <w:bCs/>
          <w:sz w:val="24"/>
          <w:szCs w:val="24"/>
        </w:rPr>
        <w:t xml:space="preserve">é obrigatório </w:t>
      </w:r>
      <w:r>
        <w:rPr>
          <w:rFonts w:ascii="Times New Roman" w:hAnsi="Times New Roman"/>
          <w:sz w:val="24"/>
          <w:szCs w:val="24"/>
        </w:rPr>
        <w:t>o uso de EPIs (Equipamentos de Proteção Individual), como bata, luvas, calça comprida e sapato fechado. No caso de cabelos compridos, estes deverão estar presos. Quando necessário utilizar também óculos de proteção.</w:t>
      </w:r>
    </w:p>
    <w:p>
      <w:pPr>
        <w:pStyle w:val="Normal"/>
        <w:spacing w:lineRule="auto" w:line="240" w:before="0" w:after="0"/>
        <w:ind w:left="142" w:right="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As tubulações de laboratório possuem cor específica, segundo normas de segurança. No caso do nosso laboratório são encontradas as seguintes cores: verde = água; amarela = gás não liquefeito; cinza = eletricidade;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O material escolar (mochilas, pastas, cadernos, etc.) deve ser guardado em local próprio. Não utilize a bancada como mesa;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Durante a permanência no laboratório, não passar os dedos na boca, nariz, olhos e ouvidos. </w:t>
      </w:r>
    </w:p>
    <w:p>
      <w:pPr>
        <w:pStyle w:val="ListParagrap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Seja cuidadoso ao manusear substâncias corrosivas como ácidos e bases. Lave sempre as mãos após manusear reagente e ao terminar os experimentos para sair do laboratório;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Não trabalhe com material imperfeito, principalmente o vidro que contenha rachaduras, pontas ou arestas cortantes;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Leia com atenção o rótulo de qualquer frasco de reagente antes de usá-lo, certificando-se de seu uso;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Segure o frasco de reagente com o rótulo voltado para a palma de sua mão, evitando desta forma, danos ao rótulo;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Evite retirar volumes muito superiores à quantidade necessária para o experimento, para minimizar desperdícios e geração de resíduos no laboratório;</w:t>
      </w:r>
    </w:p>
    <w:p>
      <w:pPr>
        <w:pStyle w:val="ListParagrap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Sobras de reagentes não devem ser devolvidas ao frasco original, evitando assim possíveis contaminações cruzadas;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Nunca aspire ou inale reagentes químicos, sejam líquidos, soluções, vapores, fumos etc;</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Todas as experiências que envolvam produtos corrosivos concentrados, PA ou vapores tóxicos devem ser realizadas na capela (dispositivo provido de exaustão);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Quando necessário manipular tubos de vidro em rolha, pedir ajuda ao professor ou técnico;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Quando for utilizar o gás, abra a torneira somente após acender o palito de fósforo (nunca um isqueiro!) e, ao terminar seu uso, feche com cuidado a torneira, evitando vazamentos;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Certifique-se com professor ou técnico sobre como realizar o aquecimento reagentes em sistemas fechados;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Ao aquecer tubos de ensaio não volte a extremidade aberta para si ou para uma pessoa próxima;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Não deixe vidro quente onde possam pegá-lo inadvertidamente (o vidro quente parece com o vidro frio!); Coloque-o sempre sobre uma tela de amianto, o que alertará aos demais sobre o perigo de queimaduras;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Para evitar acidentes, não deixe o bico de gás aceso com chama forte sobre a bancada;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Não deixe produtos inflamáveis perto do fogo;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Consulte o professor ou técnico quando for realizar qualquer operação que necessite aquecimento prolongado ou que desenvolva grande quantidade de energia;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Em caso de derrame de produto químico sobre a bancada, consulte o professor ou técnico para o manejo adequado do mesmo;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Evite debruçar-se sobre a bancada. Algum reagente pode ter caído sobre a mesma, sem que fosse percebido, o que pode ocasionar acidentes. Conserve, portanto, sempre limpa a bancada e a aparelhagem que utilizar;</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Não deixe frascos de reagentes destampados, principalmente se contiverem substâncias voláteis. Tenha o cuidado de não trocar as tampas dos frascos;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Os reagentes de uso coletivo deverão ser mantidos em seus devidos lugares;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Durante os trabalhos em grupo apenas um aluno deverá se deslocar para pegar materiais e reagentes, para diminuir a quantidade de pessoas circulando simultaneamente e evitando acidentes;</w:t>
      </w:r>
    </w:p>
    <w:p>
      <w:pPr>
        <w:pStyle w:val="ListParagraph"/>
        <w:spacing w:lineRule="auto" w:line="240" w:before="0" w:after="0"/>
        <w:ind w:left="502" w:right="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Sempre que trabalhar com água e ácidos concentrados, use sempre a capela, adicionando, </w:t>
      </w:r>
      <w:r>
        <w:rPr>
          <w:rFonts w:ascii="Times New Roman" w:hAnsi="Times New Roman"/>
          <w:b/>
          <w:bCs/>
          <w:sz w:val="24"/>
          <w:szCs w:val="24"/>
        </w:rPr>
        <w:t>lentamente</w:t>
      </w:r>
      <w:r>
        <w:rPr>
          <w:rFonts w:ascii="Times New Roman" w:hAnsi="Times New Roman"/>
          <w:sz w:val="24"/>
          <w:szCs w:val="24"/>
        </w:rPr>
        <w:t xml:space="preserve">, </w:t>
      </w:r>
      <w:r>
        <w:rPr>
          <w:rFonts w:ascii="Times New Roman" w:hAnsi="Times New Roman"/>
          <w:b/>
          <w:bCs/>
          <w:sz w:val="24"/>
          <w:szCs w:val="24"/>
        </w:rPr>
        <w:t xml:space="preserve">o ácido sobre a água </w:t>
      </w:r>
      <w:r>
        <w:rPr>
          <w:rFonts w:ascii="Times New Roman" w:hAnsi="Times New Roman"/>
          <w:sz w:val="24"/>
          <w:szCs w:val="24"/>
        </w:rPr>
        <w:t xml:space="preserve">e </w:t>
      </w:r>
      <w:r>
        <w:rPr>
          <w:rFonts w:ascii="Times New Roman" w:hAnsi="Times New Roman"/>
          <w:b/>
          <w:bCs/>
          <w:sz w:val="24"/>
          <w:szCs w:val="24"/>
        </w:rPr>
        <w:t xml:space="preserve">NUNCA o contrário </w:t>
      </w:r>
      <w:r>
        <w:rPr>
          <w:rFonts w:ascii="Times New Roman" w:hAnsi="Times New Roman"/>
          <w:sz w:val="24"/>
          <w:szCs w:val="24"/>
        </w:rPr>
        <w:t>(poderá haver projeção, devido à energia liberada no processo);</w:t>
      </w:r>
    </w:p>
    <w:p>
      <w:pPr>
        <w:pStyle w:val="ListParagraph"/>
        <w:rPr>
          <w:rFonts w:ascii="Times New Roman" w:hAnsi="Times New Roman"/>
          <w:b/>
          <w:bCs/>
          <w:sz w:val="24"/>
          <w:szCs w:val="24"/>
        </w:rPr>
      </w:pPr>
      <w:r>
        <w:rPr>
          <w:rFonts w:ascii="Times New Roman" w:hAnsi="Times New Roman"/>
          <w:b/>
          <w:bCs/>
          <w:sz w:val="24"/>
          <w:szCs w:val="24"/>
        </w:rPr>
      </w:r>
    </w:p>
    <w:p>
      <w:pPr>
        <w:pStyle w:val="ListParagraph"/>
        <w:numPr>
          <w:ilvl w:val="0"/>
          <w:numId w:val="6"/>
        </w:numPr>
        <w:spacing w:lineRule="auto" w:line="240" w:before="0" w:after="0"/>
        <w:contextualSpacing/>
        <w:jc w:val="both"/>
        <w:rPr>
          <w:rFonts w:ascii="Times New Roman" w:hAnsi="Times New Roman"/>
          <w:bCs/>
          <w:sz w:val="24"/>
          <w:szCs w:val="24"/>
        </w:rPr>
      </w:pPr>
      <w:r>
        <w:rPr>
          <w:rFonts w:ascii="Times New Roman" w:hAnsi="Times New Roman"/>
          <w:bCs/>
          <w:sz w:val="24"/>
          <w:szCs w:val="24"/>
        </w:rPr>
        <w:t>Sempre que utilizar estufa ou fornos consulte o professor ou técnico para evitar incompatibilidades dos materiais com o sistema de aquecimento e segurança do procedimento;</w:t>
      </w:r>
    </w:p>
    <w:p>
      <w:pPr>
        <w:pStyle w:val="ListParagraph"/>
        <w:rPr>
          <w:rFonts w:ascii="Times New Roman" w:hAnsi="Times New Roman"/>
          <w:bCs/>
          <w:sz w:val="24"/>
          <w:szCs w:val="24"/>
        </w:rPr>
      </w:pPr>
      <w:r>
        <w:rPr>
          <w:rFonts w:ascii="Times New Roman" w:hAnsi="Times New Roman"/>
          <w:bCs/>
          <w:sz w:val="24"/>
          <w:szCs w:val="24"/>
        </w:rPr>
      </w:r>
    </w:p>
    <w:p>
      <w:pPr>
        <w:pStyle w:val="ListParagraph"/>
        <w:numPr>
          <w:ilvl w:val="0"/>
          <w:numId w:val="6"/>
        </w:numPr>
        <w:spacing w:lineRule="auto" w:line="240" w:before="0" w:after="0"/>
        <w:contextualSpacing/>
        <w:jc w:val="both"/>
        <w:rPr>
          <w:rFonts w:ascii="Times New Roman" w:hAnsi="Times New Roman"/>
          <w:bCs/>
          <w:sz w:val="24"/>
          <w:szCs w:val="24"/>
        </w:rPr>
      </w:pPr>
      <w:r>
        <w:rPr>
          <w:rFonts w:ascii="Times New Roman" w:hAnsi="Times New Roman"/>
          <w:bCs/>
          <w:sz w:val="24"/>
          <w:szCs w:val="24"/>
        </w:rPr>
        <w:t>Sempre que for utilizar a capela, lembrar de ligar a exaustão e colocar a abertura da janela na altura adequada;</w:t>
      </w:r>
    </w:p>
    <w:p>
      <w:pPr>
        <w:pStyle w:val="ListParagraph"/>
        <w:rPr>
          <w:rFonts w:ascii="Times New Roman" w:hAnsi="Times New Roman"/>
          <w:bCs/>
          <w:sz w:val="24"/>
          <w:szCs w:val="24"/>
        </w:rPr>
      </w:pPr>
      <w:r>
        <w:rPr>
          <w:rFonts w:ascii="Times New Roman" w:hAnsi="Times New Roman"/>
          <w:bCs/>
          <w:sz w:val="24"/>
          <w:szCs w:val="24"/>
        </w:rPr>
      </w:r>
    </w:p>
    <w:p>
      <w:pPr>
        <w:pStyle w:val="ListParagraph"/>
        <w:numPr>
          <w:ilvl w:val="0"/>
          <w:numId w:val="6"/>
        </w:numPr>
        <w:spacing w:lineRule="auto" w:line="240" w:before="0" w:after="0"/>
        <w:contextualSpacing/>
        <w:jc w:val="both"/>
        <w:rPr>
          <w:rFonts w:ascii="Times New Roman" w:hAnsi="Times New Roman"/>
          <w:bCs/>
          <w:sz w:val="24"/>
          <w:szCs w:val="24"/>
        </w:rPr>
      </w:pPr>
      <w:r>
        <w:rPr>
          <w:rFonts w:ascii="Times New Roman" w:hAnsi="Times New Roman"/>
          <w:bCs/>
          <w:sz w:val="24"/>
          <w:szCs w:val="24"/>
        </w:rPr>
        <w:t>Para uso dos demais equipamentos, consultar os técnicos e manuais;</w:t>
      </w:r>
    </w:p>
    <w:p>
      <w:pPr>
        <w:pStyle w:val="Normal"/>
        <w:spacing w:lineRule="auto" w:line="240" w:before="0" w:after="0"/>
        <w:jc w:val="both"/>
        <w:rPr>
          <w:rFonts w:ascii="Times New Roman" w:hAnsi="Times New Roman"/>
          <w:b/>
          <w:bCs/>
          <w:sz w:val="24"/>
          <w:szCs w:val="24"/>
        </w:rPr>
      </w:pPr>
      <w:r>
        <w:rPr>
          <w:rFonts w:ascii="Times New Roman" w:hAnsi="Times New Roman"/>
          <w:b/>
          <w:bCs/>
          <w:sz w:val="24"/>
          <w:szCs w:val="24"/>
        </w:rPr>
      </w:r>
    </w:p>
    <w:p>
      <w:pPr>
        <w:pStyle w:val="ListParagraph"/>
        <w:numPr>
          <w:ilvl w:val="0"/>
          <w:numId w:val="6"/>
        </w:numPr>
        <w:spacing w:lineRule="auto" w:line="240" w:before="0" w:after="0"/>
        <w:contextualSpacing/>
        <w:rPr>
          <w:rFonts w:ascii="Times New Roman" w:hAnsi="Times New Roman"/>
          <w:sz w:val="24"/>
          <w:szCs w:val="24"/>
        </w:rPr>
      </w:pPr>
      <w:r>
        <w:rPr>
          <w:rFonts w:ascii="Times New Roman" w:hAnsi="Times New Roman"/>
          <w:sz w:val="24"/>
          <w:szCs w:val="24"/>
        </w:rPr>
        <w:t xml:space="preserve">Não descarte nenhum material sólido nas pias e nos ralos. O LQ possui um Plano de Gerenciamento de Resíduos que orienta o descarte adequado de resíduos;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Durante a realização das experiências, dirija sua atenção única e exclusivamente ao trabalho que está executando. Esta atitude permitirá que, além de fazer observações com maior exatidão, sejam evitados acidentes no laboratório;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Ao se retirar do laboratório, verifique se não há torneiras (água ou gás) abertas e limpe todo o material utilizado, bem como a bancada;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Mantenha o laboratório sempre limpo. Higiene também é uma questão de segurança;</w:t>
      </w:r>
    </w:p>
    <w:p>
      <w:pPr>
        <w:pStyle w:val="ListParagraph"/>
        <w:rPr>
          <w:rFonts w:ascii="Times New Roman" w:hAnsi="Times New Roman"/>
          <w:sz w:val="24"/>
          <w:szCs w:val="24"/>
        </w:rPr>
      </w:pPr>
      <w:r>
        <w:rPr>
          <w:rFonts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Não permanecer no laboratório quando não estiver realizando trabalhos experimentais;</w:t>
      </w:r>
    </w:p>
    <w:p>
      <w:pPr>
        <w:pStyle w:val="ListParagraph"/>
        <w:rPr>
          <w:rFonts w:ascii="Times New Roman" w:hAnsi="Times New Roman"/>
          <w:sz w:val="24"/>
          <w:szCs w:val="24"/>
        </w:rPr>
      </w:pPr>
      <w:r>
        <w:rPr>
          <w:rFonts w:ascii="Times New Roman" w:hAnsi="Times New Roman"/>
          <w:sz w:val="24"/>
          <w:szCs w:val="24"/>
        </w:rPr>
      </w:r>
    </w:p>
    <w:p>
      <w:pPr>
        <w:pStyle w:val="ListParagraph"/>
        <w:spacing w:lineRule="auto" w:line="240" w:before="0" w:after="0"/>
        <w:ind w:left="502" w:right="0" w:hanging="0"/>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40" w:before="0" w:after="0"/>
        <w:ind w:left="502" w:right="0" w:hanging="0"/>
        <w:contextualSpacing/>
        <w:jc w:val="both"/>
        <w:rPr>
          <w:rFonts w:ascii="Times New Roman" w:hAnsi="Times New Roman"/>
          <w:sz w:val="24"/>
          <w:szCs w:val="24"/>
        </w:rPr>
      </w:pPr>
      <w:r>
        <w:rPr>
          <w:rFonts w:ascii="Times New Roman" w:hAnsi="Times New Roman"/>
          <w:sz w:val="24"/>
          <w:szCs w:val="24"/>
        </w:rPr>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IX - Da Conduta</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É de responsabilidade da coordenação, professores e funcionários do LQmanter a disciplina e a ordem no Laboratório. Durante a utilização do mesmo para atividades acadêmicas esta responsabilidade decai sobre o professor ou técnico responsável pela atividade. É obrigatória a presença do servidor no laboratório durante os períodos reservados pelo mesmo.O LQé um local de estudo e, portanto, devem ser observadas a as regras de ordem e silêncio. Qualquer conduta indevida deve ser comunicada aos responsáveis pelo LQ, através de memorando interno, com provas anexadas para providências das medidas cabíveis.</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X - Das Punições</w:t>
      </w:r>
    </w:p>
    <w:p>
      <w:pPr>
        <w:pStyle w:val="Normal"/>
        <w:shd w:fill="FFFFFF" w:val="clear"/>
        <w:spacing w:lineRule="atLeast" w:line="200" w:beforeAutospacing="1" w:after="1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 descumprimento ou inobservância de quaisquer regras ou políticas dos laboratórios são considerados faltas graves, podendo, sem prejuízo das ações disciplinares previstas no Estatuto ou Regimento Geral da UFPE em vigor, redundar na instauração contra o infrator, de ações extrajudiciais cíveis e criminais, além da suspensão imediata nos privilégios de acesso e uso das facilidades do Laboratório.</w:t>
      </w:r>
    </w:p>
    <w:p>
      <w:pPr>
        <w:pStyle w:val="Normal"/>
        <w:shd w:fill="FFFFFF" w:val="clear"/>
        <w:spacing w:lineRule="atLeast" w:line="200" w:beforeAutospacing="1" w:afterAutospacing="1"/>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XI–Da Estrutura Organizacional</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bookmarkStart w:id="0" w:name="_GoBack"/>
      <w:bookmarkEnd w:id="0"/>
      <w:r>
        <w:rPr>
          <w:rFonts w:eastAsia="Times New Roman" w:cs="Times New Roman" w:ascii="Times New Roman" w:hAnsi="Times New Roman"/>
          <w:sz w:val="24"/>
          <w:szCs w:val="24"/>
        </w:rPr>
        <w:t>O LQ tem a seguinte estrutura organizacional: Coordenador de Laboratório, Vice- Coordenador, Técnicos de Nível Superior e Médio de laboratório, Auxiliares de laboratório e Estagiários.</w:t>
      </w:r>
    </w:p>
    <w:p>
      <w:pPr>
        <w:pStyle w:val="ListParagraph"/>
        <w:numPr>
          <w:ilvl w:val="0"/>
          <w:numId w:val="7"/>
        </w:numPr>
        <w:shd w:fill="FFFFFF" w:val="clear"/>
        <w:spacing w:lineRule="atLeast" w:line="200" w:beforeAutospacing="1" w:afterAutospacing="1"/>
        <w:contextualSpacing/>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Da Coordenação </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 Coordenação do LQ é exercida por um servidor docente designado pela coordenação do Núcleo de Tecnologia. São deveres do Coordenador:</w:t>
      </w:r>
    </w:p>
    <w:p>
      <w:pPr>
        <w:pStyle w:val="ListParagraph"/>
        <w:numPr>
          <w:ilvl w:val="0"/>
          <w:numId w:val="2"/>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Cumprir e fazer cumprir este Regulamento;</w:t>
      </w:r>
    </w:p>
    <w:p>
      <w:pPr>
        <w:pStyle w:val="ListParagraph"/>
        <w:numPr>
          <w:ilvl w:val="0"/>
          <w:numId w:val="2"/>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Conservar o patrimônio do Laboratório de Química;</w:t>
      </w:r>
    </w:p>
    <w:p>
      <w:pPr>
        <w:pStyle w:val="ListParagraph"/>
        <w:numPr>
          <w:ilvl w:val="0"/>
          <w:numId w:val="2"/>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Coordenar a liberação do Laboratório de Química para aulas práticas, cuidando para que não existam privilégios;</w:t>
      </w:r>
    </w:p>
    <w:p>
      <w:pPr>
        <w:pStyle w:val="ListParagraph"/>
        <w:numPr>
          <w:ilvl w:val="0"/>
          <w:numId w:val="2"/>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Autorizar a instalação de novas pesquisas, atividades e aula- práticas;</w:t>
      </w:r>
    </w:p>
    <w:p>
      <w:pPr>
        <w:pStyle w:val="ListParagraph"/>
        <w:numPr>
          <w:ilvl w:val="0"/>
          <w:numId w:val="2"/>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Autorizar a liberação de qualquer patrimônio do Laboratório de Química desde que visando o interesse do Núcleo de Tecnologia;</w:t>
      </w:r>
    </w:p>
    <w:p>
      <w:pPr>
        <w:pStyle w:val="ListParagraph"/>
        <w:numPr>
          <w:ilvl w:val="0"/>
          <w:numId w:val="2"/>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Quando necessário, por motivos justos, vetar a utilização do laboratório aos usuários;</w:t>
      </w:r>
    </w:p>
    <w:p>
      <w:pPr>
        <w:pStyle w:val="ListParagraph"/>
        <w:numPr>
          <w:ilvl w:val="0"/>
          <w:numId w:val="2"/>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Informar à Direção do Centro sobre o descumprimento deste regulamento.</w:t>
      </w:r>
    </w:p>
    <w:p>
      <w:pPr>
        <w:pStyle w:val="Normal"/>
        <w:shd w:fill="FFFFFF" w:val="clear"/>
        <w:spacing w:lineRule="atLeast" w:line="200" w:beforeAutospacing="1" w:afterAutospacing="1"/>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r>
    </w:p>
    <w:p>
      <w:pPr>
        <w:pStyle w:val="ListParagraph"/>
        <w:numPr>
          <w:ilvl w:val="0"/>
          <w:numId w:val="7"/>
        </w:numPr>
        <w:shd w:fill="FFFFFF" w:val="clear"/>
        <w:spacing w:lineRule="atLeast" w:line="200" w:beforeAutospacing="1" w:afterAutospacing="1"/>
        <w:contextualSpacing/>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Da Vice Coordenação</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Além de exercer as atividades de 1 à 3 do item anterior, substituir e representar o coordenador em sua ausência.</w:t>
      </w:r>
    </w:p>
    <w:p>
      <w:pPr>
        <w:pStyle w:val="ListParagraph"/>
        <w:numPr>
          <w:ilvl w:val="0"/>
          <w:numId w:val="7"/>
        </w:numPr>
        <w:shd w:fill="FFFFFF" w:val="clear"/>
        <w:spacing w:lineRule="atLeast" w:line="200" w:beforeAutospacing="1" w:afterAutospacing="1"/>
        <w:contextualSpacing/>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Dos Técnicos</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 técnico responsável pelo LQ tem como atribuições:</w:t>
      </w:r>
    </w:p>
    <w:p>
      <w:pPr>
        <w:pStyle w:val="ListParagraph"/>
        <w:numPr>
          <w:ilvl w:val="0"/>
          <w:numId w:val="4"/>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Prestar suporte técnico aos usuários no desenvolvimento das atividades acadêmicas que necessitem dos recursos do Laboratório;</w:t>
      </w:r>
    </w:p>
    <w:p>
      <w:pPr>
        <w:pStyle w:val="ListParagraph"/>
        <w:numPr>
          <w:ilvl w:val="0"/>
          <w:numId w:val="4"/>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Supervisionar e controlar o comportamento dos usuários e utilização dos equipamentos;</w:t>
      </w:r>
    </w:p>
    <w:p>
      <w:pPr>
        <w:pStyle w:val="ListParagraph"/>
        <w:numPr>
          <w:ilvl w:val="0"/>
          <w:numId w:val="4"/>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Zelar pela conservação da infraestrutura existente, e quando necessário informar à Coordenação sobre a necessidade da realização de serviços de manutenção;</w:t>
      </w:r>
    </w:p>
    <w:p>
      <w:pPr>
        <w:pStyle w:val="ListParagraph"/>
        <w:numPr>
          <w:ilvl w:val="0"/>
          <w:numId w:val="4"/>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Realizar a manutenção e a calibração dos equipamentos, salvo atividades que requeiram intervenção externa por profissionais ou empresas especializadas;</w:t>
      </w:r>
    </w:p>
    <w:p>
      <w:pPr>
        <w:pStyle w:val="ListParagraph"/>
        <w:numPr>
          <w:ilvl w:val="0"/>
          <w:numId w:val="4"/>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Preparar aulas práticas (técnicos de nível médio) solicitadas de acordo com a antecedência informada no item V;</w:t>
      </w:r>
    </w:p>
    <w:p>
      <w:pPr>
        <w:pStyle w:val="ListParagraph"/>
        <w:numPr>
          <w:ilvl w:val="0"/>
          <w:numId w:val="4"/>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Realizar o controle de estoque de insumos químicos, vidrarias, suprimentos de equipamentos e materiais diversos relacionados às atividades do LQ, informando à Coordenação as demandas para aquisição;</w:t>
      </w:r>
    </w:p>
    <w:p>
      <w:pPr>
        <w:pStyle w:val="ListParagraph"/>
        <w:numPr>
          <w:ilvl w:val="0"/>
          <w:numId w:val="4"/>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Contribuir para a política de manejo e destinação de resíduos químicos gerados no LQ;</w:t>
      </w:r>
    </w:p>
    <w:p>
      <w:pPr>
        <w:pStyle w:val="Normal"/>
        <w:shd w:fill="FFFFFF" w:val="clear"/>
        <w:spacing w:lineRule="atLeast" w:line="200" w:before="0" w:after="120"/>
        <w:ind w:left="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Não constituem atribuições dos funcionários:</w:t>
      </w:r>
    </w:p>
    <w:p>
      <w:pPr>
        <w:pStyle w:val="ListParagraph"/>
        <w:numPr>
          <w:ilvl w:val="0"/>
          <w:numId w:val="3"/>
        </w:numPr>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Desempenhar funções de monitoria em atividades acadêmicas;</w:t>
      </w:r>
    </w:p>
    <w:p>
      <w:pPr>
        <w:pStyle w:val="ListParagraph"/>
        <w:shd w:fill="FFFFFF" w:val="clear"/>
        <w:spacing w:lineRule="atLeast" w:line="200" w:before="0" w:after="0"/>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ListParagraph"/>
        <w:numPr>
          <w:ilvl w:val="0"/>
          <w:numId w:val="7"/>
        </w:numPr>
        <w:shd w:fill="FFFFFF" w:val="clear"/>
        <w:spacing w:lineRule="atLeast" w:line="200" w:beforeAutospacing="1" w:afterAutospacing="1"/>
        <w:contextualSpacing/>
        <w:jc w:val="both"/>
        <w:rPr>
          <w:rFonts w:eastAsia="Times New Roman" w:cs="Times New Roman" w:ascii="Times New Roman" w:hAnsi="Times New Roman"/>
          <w:b/>
          <w:sz w:val="24"/>
          <w:szCs w:val="24"/>
        </w:rPr>
      </w:pPr>
      <w:r>
        <w:rPr>
          <w:rFonts w:eastAsia="Times New Roman" w:cs="Times New Roman" w:ascii="Times New Roman" w:hAnsi="Times New Roman"/>
          <w:b/>
          <w:sz w:val="24"/>
          <w:szCs w:val="24"/>
        </w:rPr>
        <w:t>Dos Monitores e Estagiários</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Os Monitores são discentes e auxiliares dos docentes nas disciplinas com aulas práticas no LQ. Serão selecionados por meio de editais específicos. São deveres dos Monitores:</w:t>
      </w:r>
    </w:p>
    <w:p>
      <w:pPr>
        <w:pStyle w:val="ListParagraph"/>
        <w:numPr>
          <w:ilvl w:val="0"/>
          <w:numId w:val="5"/>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Realizar atividades experimentais em concordância com as boas práticas em LQ;</w:t>
      </w:r>
    </w:p>
    <w:p>
      <w:pPr>
        <w:pStyle w:val="ListParagraph"/>
        <w:numPr>
          <w:ilvl w:val="0"/>
          <w:numId w:val="5"/>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Atender as orientações e demandas do corpo técnico do LQ relacionadas às suas atividades de monitoria ou estágio;</w:t>
      </w:r>
    </w:p>
    <w:p>
      <w:pPr>
        <w:pStyle w:val="ListParagraph"/>
        <w:numPr>
          <w:ilvl w:val="0"/>
          <w:numId w:val="5"/>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Não permitir a instalação e remoção de softwares nos computadores sem o consentimento do Coordenador do laboratório;</w:t>
      </w:r>
    </w:p>
    <w:p>
      <w:pPr>
        <w:pStyle w:val="ListParagraph"/>
        <w:numPr>
          <w:ilvl w:val="0"/>
          <w:numId w:val="5"/>
        </w:numPr>
        <w:shd w:fill="FFFFFF" w:val="clear"/>
        <w:spacing w:lineRule="atLeast" w:line="200" w:beforeAutospacing="1" w:afterAutospacing="1"/>
        <w:contextualSpacing/>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Prestar orientações aos usuários.</w:t>
      </w:r>
    </w:p>
    <w:p>
      <w:pPr>
        <w:pStyle w:val="Normal"/>
        <w:shd w:fill="FFFFFF" w:val="clear"/>
        <w:spacing w:lineRule="atLeast" w:line="200" w:beforeAutospacing="1" w:afterAutospacing="1"/>
        <w:jc w:val="both"/>
        <w:rPr>
          <w:rFonts w:eastAsia="Times New Roman" w:cs="Times New Roman" w:ascii="Times New Roman" w:hAnsi="Times New Roman"/>
          <w:b/>
          <w:bCs/>
          <w:sz w:val="24"/>
          <w:szCs w:val="24"/>
        </w:rPr>
      </w:pPr>
      <w:r>
        <w:rPr>
          <w:rFonts w:eastAsia="Times New Roman" w:cs="Times New Roman" w:ascii="Times New Roman" w:hAnsi="Times New Roman"/>
          <w:b/>
          <w:bCs/>
          <w:sz w:val="24"/>
          <w:szCs w:val="24"/>
        </w:rPr>
        <w:t>XII - dos Casos Omissos</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Os casos omissos neste regulamento do LQ serão apreciados, em primeira e única instância, por uma comissão designada pela coordenação do Núcleo de Tecnologia.</w:t>
      </w:r>
    </w:p>
    <w:p>
      <w:pPr>
        <w:pStyle w:val="Normal"/>
        <w:shd w:fill="FFFFFF" w:val="clear"/>
        <w:spacing w:lineRule="atLeast" w:line="200" w:beforeAutospacing="1" w:afterAutospacing="1"/>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Este regulamento entra em vigor na data de sua assinatura.</w:t>
      </w:r>
    </w:p>
    <w:p>
      <w:pPr>
        <w:pStyle w:val="Normal"/>
        <w:shd w:fill="FFFFFF" w:val="clear"/>
        <w:spacing w:lineRule="atLeast" w:line="200" w:beforeAutospacing="1" w:afterAutospacing="1"/>
        <w:jc w:val="right"/>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hd w:fill="FFFFFF" w:val="clear"/>
        <w:spacing w:lineRule="atLeast" w:line="20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Caruaru, ___ de __________de _______________________________________</w:t>
      </w:r>
    </w:p>
    <w:p>
      <w:pPr>
        <w:pStyle w:val="Normal"/>
        <w:shd w:fill="FFFFFF" w:val="clear"/>
        <w:spacing w:lineRule="atLeast" w:line="200" w:before="0" w:after="0"/>
        <w:jc w:val="center"/>
        <w:rPr>
          <w:rFonts w:eastAsia="Times New Roman" w:cs="Times New Roman" w:ascii="Times New Roman" w:hAnsi="Times New Roman"/>
          <w:sz w:val="20"/>
          <w:szCs w:val="24"/>
        </w:rPr>
      </w:pPr>
      <w:r>
        <w:rPr>
          <w:rFonts w:eastAsia="Times New Roman" w:cs="Times New Roman" w:ascii="Times New Roman" w:hAnsi="Times New Roman"/>
          <w:sz w:val="20"/>
          <w:szCs w:val="24"/>
        </w:rPr>
        <w:t>Coordenador do LQ</w:t>
      </w:r>
    </w:p>
    <w:p>
      <w:pPr>
        <w:pStyle w:val="Normal"/>
        <w:shd w:fill="FFFFFF" w:val="clear"/>
        <w:spacing w:lineRule="atLeast" w:line="20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hd w:fill="FFFFFF" w:val="clear"/>
        <w:spacing w:lineRule="atLeast" w:line="20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r>
    </w:p>
    <w:p>
      <w:pPr>
        <w:pStyle w:val="Normal"/>
        <w:spacing w:before="0" w:after="0"/>
        <w:jc w:val="center"/>
        <w:rPr>
          <w:rFonts w:cs="Times New Roman" w:ascii="Times New Roman" w:hAnsi="Times New Roman"/>
          <w:sz w:val="24"/>
          <w:szCs w:val="24"/>
        </w:rPr>
      </w:pPr>
      <w:r>
        <w:rPr>
          <w:rFonts w:eastAsia="Times New Roman" w:cs="Times New Roman" w:ascii="Times New Roman" w:hAnsi="Times New Roman"/>
          <w:sz w:val="24"/>
          <w:szCs w:val="24"/>
        </w:rPr>
        <w:t xml:space="preserve">Caruaru, ___ de __________de _____ </w:t>
      </w:r>
      <w:r>
        <w:rPr>
          <w:rFonts w:cs="Times New Roman" w:ascii="Times New Roman" w:hAnsi="Times New Roman"/>
          <w:sz w:val="24"/>
          <w:szCs w:val="24"/>
        </w:rPr>
        <w:t>_________________________________</w:t>
      </w:r>
    </w:p>
    <w:p>
      <w:pPr>
        <w:pStyle w:val="Normal"/>
        <w:spacing w:before="0" w:after="0"/>
        <w:jc w:val="center"/>
        <w:rPr>
          <w:rFonts w:cs="Times New Roman" w:ascii="Times New Roman" w:hAnsi="Times New Roman"/>
          <w:sz w:val="20"/>
          <w:szCs w:val="24"/>
        </w:rPr>
      </w:pPr>
      <w:r>
        <w:rPr>
          <w:rFonts w:cs="Times New Roman" w:ascii="Times New Roman" w:hAnsi="Times New Roman"/>
          <w:sz w:val="20"/>
          <w:szCs w:val="24"/>
        </w:rPr>
        <w:t>Vice- Coordenador do LQ</w:t>
      </w:r>
    </w:p>
    <w:p>
      <w:pPr>
        <w:pStyle w:val="Normal"/>
        <w:spacing w:before="0" w:after="0"/>
        <w:jc w:val="center"/>
        <w:rPr>
          <w:rFonts w:cs="Times New Roman" w:ascii="Times New Roman" w:hAnsi="Times New Roman"/>
          <w:sz w:val="20"/>
          <w:szCs w:val="24"/>
        </w:rPr>
      </w:pPr>
      <w:r>
        <w:rPr>
          <w:rFonts w:cs="Times New Roman" w:ascii="Times New Roman" w:hAnsi="Times New Roman"/>
          <w:sz w:val="20"/>
          <w:szCs w:val="24"/>
        </w:rPr>
      </w:r>
    </w:p>
    <w:p>
      <w:pPr>
        <w:pStyle w:val="Normal"/>
        <w:spacing w:before="0" w:after="0"/>
        <w:jc w:val="center"/>
        <w:rPr>
          <w:rFonts w:cs="Times New Roman" w:ascii="Times New Roman" w:hAnsi="Times New Roman"/>
          <w:sz w:val="20"/>
          <w:szCs w:val="24"/>
        </w:rPr>
      </w:pPr>
      <w:r>
        <w:rPr>
          <w:rFonts w:cs="Times New Roman" w:ascii="Times New Roman" w:hAnsi="Times New Roman"/>
          <w:sz w:val="20"/>
          <w:szCs w:val="24"/>
        </w:rPr>
      </w:r>
    </w:p>
    <w:p>
      <w:pPr>
        <w:pStyle w:val="Normal"/>
        <w:shd w:fill="FFFFFF" w:val="clear"/>
        <w:spacing w:lineRule="atLeast" w:line="200" w:before="0" w:after="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Caruaru, ___ de __________de _______________________________________</w:t>
      </w:r>
    </w:p>
    <w:p>
      <w:pPr>
        <w:pStyle w:val="Normal"/>
        <w:shd w:fill="FFFFFF" w:val="clear"/>
        <w:spacing w:lineRule="atLeast" w:line="200" w:before="0" w:after="0"/>
        <w:jc w:val="center"/>
        <w:rPr>
          <w:rFonts w:eastAsia="Times New Roman" w:cs="Times New Roman" w:ascii="Times New Roman" w:hAnsi="Times New Roman"/>
          <w:sz w:val="20"/>
          <w:szCs w:val="24"/>
        </w:rPr>
      </w:pPr>
      <w:r>
        <w:rPr>
          <w:rFonts w:eastAsia="Times New Roman" w:cs="Times New Roman" w:ascii="Times New Roman" w:hAnsi="Times New Roman"/>
          <w:sz w:val="20"/>
          <w:szCs w:val="24"/>
        </w:rPr>
        <w:t>Coordenador do NT</w:t>
      </w:r>
    </w:p>
    <w:p>
      <w:pPr>
        <w:pStyle w:val="Normal"/>
        <w:spacing w:before="0" w:after="0"/>
        <w:jc w:val="center"/>
        <w:rPr/>
      </w:pPr>
      <w:r>
        <w:rPr/>
      </w:r>
    </w:p>
    <w:sectPr>
      <w:headerReference w:type="default" r:id="rId2"/>
      <w:type w:val="nextPage"/>
      <w:pgSz w:w="11906" w:h="16838"/>
      <w:pgMar w:left="1701" w:right="1418" w:header="709" w:top="1701"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645"/>
      <w:gridCol w:w="8132"/>
    </w:tblGrid>
    <w:tr>
      <w:trPr>
        <w:cantSplit w:val="false"/>
      </w:trPr>
      <w:tc>
        <w:tcPr>
          <w:tcW w:w="1645" w:type="dxa"/>
          <w:tcBorders>
            <w:top w:val="nil"/>
            <w:left w:val="nil"/>
            <w:bottom w:val="nil"/>
            <w:insideH w:val="nil"/>
            <w:right w:val="nil"/>
            <w:insideV w:val="nil"/>
          </w:tcBorders>
          <w:shd w:fill="auto" w:val="clear"/>
        </w:tcPr>
        <w:p>
          <w:pPr>
            <w:pStyle w:val="Normal"/>
            <w:spacing w:before="0" w:after="0"/>
            <w:jc w:val="center"/>
            <w:rPr>
              <w:rFonts w:ascii="Times New Roman" w:hAnsi="Times New Roman"/>
            </w:rPr>
          </w:pPr>
          <w:r>
            <w:rPr>
              <w:rFonts w:ascii="Times New Roman" w:hAnsi="Times New Roman"/>
            </w:rPr>
            <w:drawing>
              <wp:inline distT="0" distB="0" distL="0" distR="0">
                <wp:extent cx="625475" cy="805180"/>
                <wp:effectExtent l="0" t="0" r="0" b="0"/>
                <wp:docPr id="0" name="Picture" descr="http://www.ufpe.br/biolmol/LOGOUF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www.ufpe.br/biolmol/LOGOUFPE.JPG"/>
                        <pic:cNvPicPr>
                          <a:picLocks noChangeAspect="1" noChangeArrowheads="1"/>
                        </pic:cNvPicPr>
                      </pic:nvPicPr>
                      <pic:blipFill>
                        <a:blip r:embed="rId1"/>
                        <a:stretch>
                          <a:fillRect/>
                        </a:stretch>
                      </pic:blipFill>
                      <pic:spPr bwMode="auto">
                        <a:xfrm>
                          <a:off x="0" y="0"/>
                          <a:ext cx="625475" cy="805180"/>
                        </a:xfrm>
                        <a:prstGeom prst="rect">
                          <a:avLst/>
                        </a:prstGeom>
                        <a:noFill/>
                        <a:ln w="9525">
                          <a:noFill/>
                          <a:miter lim="800000"/>
                          <a:headEnd/>
                          <a:tailEnd/>
                        </a:ln>
                      </pic:spPr>
                    </pic:pic>
                  </a:graphicData>
                </a:graphic>
              </wp:inline>
            </w:drawing>
          </w:r>
        </w:p>
      </w:tc>
      <w:tc>
        <w:tcPr>
          <w:tcW w:w="8132" w:type="dxa"/>
          <w:tcBorders>
            <w:top w:val="nil"/>
            <w:left w:val="nil"/>
            <w:bottom w:val="nil"/>
            <w:insideH w:val="nil"/>
            <w:right w:val="nil"/>
            <w:insideV w:val="nil"/>
          </w:tcBorders>
          <w:shd w:fill="auto" w:val="clear"/>
          <w:vAlign w:val="center"/>
        </w:tcPr>
        <w:p>
          <w:pPr>
            <w:pStyle w:val="Normal"/>
            <w:spacing w:before="0" w:after="0"/>
            <w:jc w:val="center"/>
            <w:rPr>
              <w:rFonts w:cs="Times New Roman" w:ascii="Times New Roman" w:hAnsi="Times New Roman"/>
              <w:b/>
              <w:bCs/>
              <w:sz w:val="28"/>
              <w:szCs w:val="28"/>
            </w:rPr>
          </w:pPr>
          <w:r>
            <w:rPr>
              <w:rFonts w:cs="Times New Roman" w:ascii="Times New Roman" w:hAnsi="Times New Roman"/>
              <w:b/>
              <w:bCs/>
              <w:sz w:val="28"/>
              <w:szCs w:val="28"/>
            </w:rPr>
            <w:t>UNIVERSIDADE FEDERAL DE PERNAMBUCO</w:t>
          </w:r>
        </w:p>
        <w:p>
          <w:pPr>
            <w:pStyle w:val="Cabealho"/>
            <w:spacing w:before="0" w:after="0"/>
            <w:jc w:val="center"/>
            <w:rPr>
              <w:rFonts w:eastAsia="Calibri" w:cs="Times New Roman" w:ascii="Times New Roman" w:hAnsi="Times New Roman"/>
              <w:b/>
              <w:bCs/>
              <w:sz w:val="28"/>
              <w:szCs w:val="28"/>
            </w:rPr>
          </w:pPr>
          <w:r>
            <w:rPr>
              <w:rFonts w:eastAsia="Calibri" w:cs="Times New Roman" w:ascii="Times New Roman" w:hAnsi="Times New Roman"/>
              <w:b/>
              <w:bCs/>
              <w:sz w:val="28"/>
              <w:szCs w:val="28"/>
            </w:rPr>
            <w:t>CENTRO ACADÊMICO DO AGRESTE</w:t>
          </w:r>
        </w:p>
        <w:p>
          <w:pPr>
            <w:pStyle w:val="Cabealho"/>
            <w:spacing w:before="0" w:after="0"/>
            <w:jc w:val="center"/>
            <w:rPr>
              <w:rFonts w:cs="Times New Roman" w:ascii="Times New Roman" w:hAnsi="Times New Roman"/>
              <w:b/>
              <w:bCs/>
              <w:sz w:val="28"/>
              <w:szCs w:val="28"/>
            </w:rPr>
          </w:pPr>
          <w:r>
            <w:rPr>
              <w:rFonts w:cs="Times New Roman" w:ascii="Times New Roman" w:hAnsi="Times New Roman"/>
              <w:b/>
              <w:bCs/>
              <w:sz w:val="28"/>
              <w:szCs w:val="28"/>
            </w:rPr>
            <w:t>NÚCLEO DE TECNOLOGIA</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lowerLetter"/>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pt-BR" w:eastAsia="pt-BR" w:bidi="ar-SA"/>
      </w:rPr>
    </w:rPrDefault>
    <w:pPrDefault>
      <w:pPr>
        <w:spacing w:lineRule="auto" w:line="276"/>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uiPriority="0"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rsid w:val="008a39c6"/>
    <w:pPr>
      <w:widowControl/>
      <w:suppressAutoHyphens w:val="true"/>
      <w:bidi w:val="0"/>
      <w:spacing w:lineRule="auto" w:line="276" w:before="0" w:after="200"/>
      <w:jc w:val="left"/>
    </w:pPr>
    <w:rPr>
      <w:rFonts w:ascii="Calibri" w:hAnsi="Calibri" w:eastAsia="Droid Sans Fallback" w:cs=""/>
      <w:color w:val="auto"/>
      <w:sz w:val="22"/>
      <w:szCs w:val="22"/>
      <w:lang w:val="pt-BR" w:eastAsia="pt-BR" w:bidi="ar-SA"/>
    </w:rPr>
  </w:style>
  <w:style w:type="character" w:styleId="DefaultParagraphFont" w:default="1">
    <w:name w:val="Default Paragraph Font"/>
    <w:uiPriority w:val="1"/>
    <w:semiHidden/>
    <w:unhideWhenUsed/>
    <w:rPr/>
  </w:style>
  <w:style w:type="character" w:styleId="Texton32azul" w:customStyle="1">
    <w:name w:val="texton32azul"/>
    <w:rsid w:val="009840b5"/>
    <w:basedOn w:val="DefaultParagraphFont"/>
    <w:rPr/>
  </w:style>
  <w:style w:type="character" w:styleId="Strong">
    <w:name w:val="Strong"/>
    <w:uiPriority w:val="22"/>
    <w:qFormat/>
    <w:rsid w:val="009840b5"/>
    <w:basedOn w:val="DefaultParagraphFont"/>
    <w:rPr>
      <w:b/>
      <w:bCs/>
    </w:rPr>
  </w:style>
  <w:style w:type="character" w:styleId="Appleconvertedspace" w:customStyle="1">
    <w:name w:val="apple-converted-space"/>
    <w:rsid w:val="009840b5"/>
    <w:basedOn w:val="DefaultParagraphFont"/>
    <w:rPr/>
  </w:style>
  <w:style w:type="character" w:styleId="CabealhoChar" w:customStyle="1">
    <w:name w:val="Cabeçalho Char"/>
    <w:link w:val="Cabealho"/>
    <w:rsid w:val="00641156"/>
    <w:basedOn w:val="DefaultParagraphFont"/>
    <w:rPr/>
  </w:style>
  <w:style w:type="character" w:styleId="RodapChar" w:customStyle="1">
    <w:name w:val="Rodapé Char"/>
    <w:uiPriority w:val="99"/>
    <w:semiHidden/>
    <w:link w:val="Rodap"/>
    <w:rsid w:val="00641156"/>
    <w:basedOn w:val="DefaultParagraphFont"/>
    <w:rPr/>
  </w:style>
  <w:style w:type="character" w:styleId="TextodebaloChar" w:customStyle="1">
    <w:name w:val="Texto de balão Char"/>
    <w:uiPriority w:val="99"/>
    <w:semiHidden/>
    <w:link w:val="Textodebalo"/>
    <w:rsid w:val="005a1563"/>
    <w:basedOn w:val="DefaultParagraphFont"/>
    <w:rPr>
      <w:rFonts w:ascii="Tahoma" w:hAnsi="Tahoma" w:cs="Tahoma"/>
      <w:sz w:val="16"/>
      <w:szCs w:val="16"/>
    </w:rPr>
  </w:style>
  <w:style w:type="character" w:styleId="ListLabel1">
    <w:name w:val="ListLabel 1"/>
    <w:rPr>
      <w:sz w:val="20"/>
    </w:rPr>
  </w:style>
  <w:style w:type="character" w:styleId="ListLabel2">
    <w:name w:val="ListLabel 2"/>
    <w:rPr>
      <w:rFonts w:cs="Courier New"/>
    </w:rPr>
  </w:style>
  <w:style w:type="paragraph" w:styleId="Ttulo">
    <w:name w:val="Título"/>
    <w:basedOn w:val="Normal"/>
    <w:next w:val="Corpodotexto"/>
    <w:pPr>
      <w:keepNext/>
      <w:spacing w:before="240" w:after="120"/>
    </w:pPr>
    <w:rPr>
      <w:rFonts w:ascii="Liberation Sans" w:hAnsi="Liberation Sans" w:eastAsia="Droid Sans Fallback" w:cs="FreeSans"/>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NormalWeb">
    <w:name w:val="Normal (Web)"/>
    <w:unhideWhenUsed/>
    <w:rsid w:val="009840b5"/>
    <w:basedOn w:val="Normal"/>
    <w:pPr>
      <w:spacing w:before="0" w:after="280"/>
    </w:pPr>
    <w:rPr>
      <w:rFonts w:ascii="Times New Roman" w:hAnsi="Times New Roman" w:eastAsia="Times New Roman" w:cs="Times New Roman"/>
      <w:sz w:val="24"/>
      <w:szCs w:val="24"/>
    </w:rPr>
  </w:style>
  <w:style w:type="paragraph" w:styleId="Cabealho">
    <w:name w:val="Cabeçalho"/>
    <w:unhideWhenUsed/>
    <w:link w:val="CabealhoChar"/>
    <w:rsid w:val="00641156"/>
    <w:basedOn w:val="Normal"/>
    <w:pPr>
      <w:tabs>
        <w:tab w:val="center" w:pos="4252" w:leader="none"/>
        <w:tab w:val="right" w:pos="8504" w:leader="none"/>
      </w:tabs>
      <w:spacing w:lineRule="auto" w:line="240" w:before="0" w:after="0"/>
    </w:pPr>
    <w:rPr/>
  </w:style>
  <w:style w:type="paragraph" w:styleId="Rodap">
    <w:name w:val="Rodapé"/>
    <w:uiPriority w:val="99"/>
    <w:semiHidden/>
    <w:unhideWhenUsed/>
    <w:link w:val="RodapChar"/>
    <w:rsid w:val="00641156"/>
    <w:basedOn w:val="Normal"/>
    <w:pPr>
      <w:tabs>
        <w:tab w:val="center" w:pos="4252" w:leader="none"/>
        <w:tab w:val="right" w:pos="8504" w:leader="none"/>
      </w:tabs>
      <w:spacing w:lineRule="auto" w:line="240" w:before="0" w:after="0"/>
    </w:pPr>
    <w:rPr/>
  </w:style>
  <w:style w:type="paragraph" w:styleId="ListParagraph">
    <w:name w:val="List Paragraph"/>
    <w:uiPriority w:val="34"/>
    <w:qFormat/>
    <w:rsid w:val="009b082d"/>
    <w:basedOn w:val="Normal"/>
    <w:pPr>
      <w:spacing w:before="0" w:after="200"/>
      <w:ind w:left="720" w:right="0" w:hanging="0"/>
      <w:contextualSpacing/>
    </w:pPr>
    <w:rPr/>
  </w:style>
  <w:style w:type="paragraph" w:styleId="BalloonText">
    <w:name w:val="Balloon Text"/>
    <w:uiPriority w:val="99"/>
    <w:semiHidden/>
    <w:unhideWhenUsed/>
    <w:link w:val="TextodebaloChar"/>
    <w:rsid w:val="005a1563"/>
    <w:basedOn w:val="Normal"/>
    <w:pPr>
      <w:spacing w:lineRule="auto" w:line="240" w:before="0" w:after="0"/>
    </w:pPr>
    <w:rPr>
      <w:rFonts w:ascii="Tahoma" w:hAnsi="Tahoma" w:cs="Tahoma"/>
      <w:sz w:val="16"/>
      <w:szCs w:val="16"/>
    </w:rPr>
  </w:style>
  <w:style w:type="paragraph" w:styleId="Revision">
    <w:name w:val="Revision"/>
    <w:uiPriority w:val="99"/>
    <w:semiHidden/>
    <w:rsid w:val="00a5510e"/>
    <w:pPr>
      <w:widowControl/>
      <w:suppressAutoHyphens w:val="true"/>
      <w:bidi w:val="0"/>
      <w:spacing w:lineRule="auto" w:line="240" w:before="0" w:after="0"/>
      <w:jc w:val="left"/>
    </w:pPr>
    <w:rPr>
      <w:rFonts w:ascii="Calibri" w:hAnsi="Calibri" w:eastAsia="Droid Sans Fallback" w:cs=""/>
      <w:color w:val="auto"/>
      <w:sz w:val="22"/>
      <w:szCs w:val="22"/>
      <w:lang w:val="pt-BR" w:eastAsia="pt-BR" w:bidi="ar-SA"/>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59"/>
    <w:rsid w:val="00641156"/>
    <w:pPr>
      <w:spacing w:line="240" w:lineRule="auto" w:after="0"/>
    </w:pPr>
    <w:rPr>
      <w:sz w:val="24"/>
    </w:rPr>
    <w:tblPr>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D287-D323-4C2B-8704-345601D0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2019-03-13T18:08:00Z</dcterms:created>
  <dc:creator>Marcele Fontana</dc:creator>
  <dc:language>pt-BR</dc:language>
  <cp:lastModifiedBy>Gilson lima da silva</cp:lastModifiedBy>
  <dcterms:modified xsi:type="dcterms:W3CDTF">2019-03-13T18:08:00Z</dcterms:modified>
  <cp:revision>2</cp:revision>
</cp:coreProperties>
</file>